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1FC68" w14:textId="77777777" w:rsidR="00AA15AB" w:rsidRDefault="00AA15AB" w:rsidP="00AA15AB">
      <w:pPr>
        <w:pStyle w:val="Heading1"/>
      </w:pPr>
      <w:r>
        <w:t>Q1</w:t>
      </w:r>
      <w:r w:rsidR="00F562DA">
        <w:t xml:space="preserve">. </w:t>
      </w:r>
      <w:r>
        <w:t xml:space="preserve"> The role of the group</w:t>
      </w:r>
    </w:p>
    <w:p w14:paraId="5C5CF33A" w14:textId="4E8D9262" w:rsidR="00D66D46" w:rsidRPr="00B222F7" w:rsidRDefault="00AA15AB" w:rsidP="00D66D46">
      <w:pPr>
        <w:jc w:val="both"/>
        <w:rPr>
          <w:szCs w:val="24"/>
        </w:rPr>
      </w:pPr>
      <w:r w:rsidRPr="00F562DA">
        <w:rPr>
          <w:rFonts w:cs="Times New Roman"/>
          <w:color w:val="000000"/>
          <w:szCs w:val="24"/>
        </w:rPr>
        <w:t xml:space="preserve">The group, known as Preventing Elder Abuse in Tasmania (PEAT) was convened in </w:t>
      </w:r>
      <w:r w:rsidR="0093321A" w:rsidRPr="00F562DA">
        <w:rPr>
          <w:rFonts w:cs="Times New Roman"/>
          <w:color w:val="000000"/>
          <w:szCs w:val="24"/>
        </w:rPr>
        <w:t>early</w:t>
      </w:r>
      <w:r w:rsidRPr="00F562DA">
        <w:rPr>
          <w:rFonts w:cs="Times New Roman"/>
          <w:color w:val="000000"/>
          <w:szCs w:val="24"/>
        </w:rPr>
        <w:t xml:space="preserve"> 2016</w:t>
      </w:r>
      <w:r w:rsidR="0093321A" w:rsidRPr="00F562DA">
        <w:rPr>
          <w:rFonts w:cs="Times New Roman"/>
          <w:color w:val="000000"/>
          <w:szCs w:val="24"/>
        </w:rPr>
        <w:t xml:space="preserve"> to apply (successfully) for a University of Tasmania ‘Cross-Disciplinary Incentive (CDI)’ grant. Th</w:t>
      </w:r>
      <w:r w:rsidR="001641CD">
        <w:rPr>
          <w:rFonts w:cs="Times New Roman"/>
          <w:color w:val="000000"/>
          <w:szCs w:val="24"/>
        </w:rPr>
        <w:t>e</w:t>
      </w:r>
      <w:r w:rsidR="0093321A" w:rsidRPr="00F562DA">
        <w:rPr>
          <w:rFonts w:cs="Times New Roman"/>
          <w:color w:val="000000"/>
          <w:szCs w:val="24"/>
        </w:rPr>
        <w:t xml:space="preserve"> group comprises UTAS academics drawn together by common concern </w:t>
      </w:r>
      <w:r w:rsidR="001641CD">
        <w:rPr>
          <w:rFonts w:cs="Times New Roman"/>
          <w:color w:val="000000"/>
          <w:szCs w:val="24"/>
        </w:rPr>
        <w:t>about</w:t>
      </w:r>
      <w:r w:rsidR="001641CD" w:rsidRPr="00F562DA">
        <w:rPr>
          <w:rFonts w:cs="Times New Roman"/>
          <w:color w:val="000000"/>
          <w:szCs w:val="24"/>
        </w:rPr>
        <w:t xml:space="preserve"> </w:t>
      </w:r>
      <w:r w:rsidR="0093321A" w:rsidRPr="00F562DA">
        <w:rPr>
          <w:rFonts w:cs="Times New Roman"/>
          <w:color w:val="000000"/>
          <w:szCs w:val="24"/>
        </w:rPr>
        <w:t xml:space="preserve">the under-reporting and misunderstanding of elder-abuse in Tasmania. </w:t>
      </w:r>
      <w:r w:rsidR="00D66D46">
        <w:rPr>
          <w:szCs w:val="24"/>
        </w:rPr>
        <w:t xml:space="preserve">There is increasing recognition that elder abuse is both under-reported and a growing risk to the ageing population of Tasmania. Tasmania is Australia’s ‘ageing’ state, but without coordinated action across sectors, Tasmania could also become known as the elder abuse state. </w:t>
      </w:r>
    </w:p>
    <w:p w14:paraId="186D2BF6" w14:textId="77777777" w:rsidR="00AA15AB" w:rsidRPr="00F562DA" w:rsidRDefault="0093321A" w:rsidP="00AA15AB">
      <w:pPr>
        <w:rPr>
          <w:rFonts w:cs="Times New Roman"/>
          <w:color w:val="000000"/>
          <w:szCs w:val="24"/>
        </w:rPr>
      </w:pPr>
      <w:r w:rsidRPr="00F562DA">
        <w:rPr>
          <w:rFonts w:cs="Times New Roman"/>
          <w:color w:val="000000"/>
          <w:szCs w:val="24"/>
        </w:rPr>
        <w:t xml:space="preserve">The current PEAT group </w:t>
      </w:r>
      <w:r w:rsidR="001641CD">
        <w:rPr>
          <w:rFonts w:cs="Times New Roman"/>
          <w:color w:val="000000"/>
          <w:szCs w:val="24"/>
        </w:rPr>
        <w:t xml:space="preserve">members </w:t>
      </w:r>
      <w:r w:rsidRPr="00F562DA">
        <w:rPr>
          <w:rFonts w:cs="Times New Roman"/>
          <w:color w:val="000000"/>
          <w:szCs w:val="24"/>
        </w:rPr>
        <w:t>are:</w:t>
      </w:r>
    </w:p>
    <w:p w14:paraId="2F3C4712" w14:textId="0C37479C" w:rsidR="0093321A" w:rsidRPr="005A2C26" w:rsidRDefault="0093321A" w:rsidP="005A2C26">
      <w:pPr>
        <w:pStyle w:val="ListParagraph"/>
        <w:numPr>
          <w:ilvl w:val="0"/>
          <w:numId w:val="16"/>
        </w:numPr>
        <w:rPr>
          <w:rFonts w:cs="Times New Roman"/>
          <w:color w:val="000000"/>
          <w:szCs w:val="24"/>
        </w:rPr>
      </w:pPr>
      <w:r w:rsidRPr="005A2C26">
        <w:rPr>
          <w:rFonts w:cs="Times New Roman"/>
          <w:color w:val="000000"/>
          <w:szCs w:val="24"/>
        </w:rPr>
        <w:t xml:space="preserve">Associate Professor Terese Henning, </w:t>
      </w:r>
      <w:r w:rsidR="002F3D5A">
        <w:rPr>
          <w:rFonts w:cs="Times New Roman"/>
          <w:color w:val="000000"/>
          <w:szCs w:val="24"/>
        </w:rPr>
        <w:t>Faculty</w:t>
      </w:r>
      <w:r w:rsidR="002F3D5A" w:rsidRPr="005A2C26">
        <w:rPr>
          <w:rFonts w:cs="Times New Roman"/>
          <w:color w:val="000000"/>
          <w:szCs w:val="24"/>
        </w:rPr>
        <w:t xml:space="preserve"> </w:t>
      </w:r>
      <w:r w:rsidRPr="005A2C26">
        <w:rPr>
          <w:rFonts w:cs="Times New Roman"/>
          <w:color w:val="000000"/>
          <w:szCs w:val="24"/>
        </w:rPr>
        <w:t>of Law</w:t>
      </w:r>
    </w:p>
    <w:p w14:paraId="367F5B0D" w14:textId="48803E76" w:rsidR="0093321A" w:rsidRPr="005A2C26" w:rsidRDefault="0093321A" w:rsidP="005A2C26">
      <w:pPr>
        <w:pStyle w:val="ListParagraph"/>
        <w:numPr>
          <w:ilvl w:val="0"/>
          <w:numId w:val="16"/>
        </w:numPr>
        <w:rPr>
          <w:rFonts w:cs="Times New Roman"/>
          <w:color w:val="000000"/>
          <w:szCs w:val="24"/>
        </w:rPr>
      </w:pPr>
      <w:r w:rsidRPr="005A2C26">
        <w:rPr>
          <w:rFonts w:cs="Times New Roman"/>
          <w:color w:val="000000"/>
          <w:szCs w:val="24"/>
        </w:rPr>
        <w:t>Associate Professor Christine Stirling, School of Health Sciences</w:t>
      </w:r>
    </w:p>
    <w:p w14:paraId="4ED4CF93" w14:textId="67FC586D" w:rsidR="0093321A" w:rsidRPr="005A2C26" w:rsidRDefault="0093321A" w:rsidP="005A2C26">
      <w:pPr>
        <w:pStyle w:val="ListParagraph"/>
        <w:numPr>
          <w:ilvl w:val="0"/>
          <w:numId w:val="16"/>
        </w:numPr>
        <w:rPr>
          <w:rFonts w:cs="Times New Roman"/>
          <w:color w:val="000000"/>
          <w:szCs w:val="24"/>
        </w:rPr>
      </w:pPr>
      <w:r w:rsidRPr="005A2C26">
        <w:rPr>
          <w:rFonts w:cs="Times New Roman"/>
          <w:color w:val="000000"/>
          <w:szCs w:val="24"/>
        </w:rPr>
        <w:t xml:space="preserve">Dr Suanne Lawrence, School of Health Sciences </w:t>
      </w:r>
    </w:p>
    <w:p w14:paraId="552C09AD" w14:textId="31A6D64F" w:rsidR="0093321A" w:rsidRPr="005A2C26" w:rsidRDefault="0093321A" w:rsidP="005A2C26">
      <w:pPr>
        <w:pStyle w:val="ListParagraph"/>
        <w:numPr>
          <w:ilvl w:val="0"/>
          <w:numId w:val="16"/>
        </w:numPr>
        <w:rPr>
          <w:rFonts w:cs="Times New Roman"/>
          <w:color w:val="000000"/>
          <w:szCs w:val="24"/>
        </w:rPr>
      </w:pPr>
      <w:r w:rsidRPr="005A2C26">
        <w:rPr>
          <w:rFonts w:cs="Times New Roman"/>
          <w:color w:val="000000"/>
          <w:szCs w:val="24"/>
        </w:rPr>
        <w:t>Dr Susan Banks, School of Social Sciences</w:t>
      </w:r>
    </w:p>
    <w:p w14:paraId="157C126F" w14:textId="45A3D215" w:rsidR="0093321A" w:rsidRPr="005A2C26" w:rsidRDefault="0093321A" w:rsidP="005A2C26">
      <w:pPr>
        <w:pStyle w:val="ListParagraph"/>
        <w:numPr>
          <w:ilvl w:val="0"/>
          <w:numId w:val="16"/>
        </w:numPr>
        <w:rPr>
          <w:rFonts w:cs="Times New Roman"/>
          <w:color w:val="000000"/>
          <w:szCs w:val="24"/>
        </w:rPr>
      </w:pPr>
      <w:r w:rsidRPr="005A2C26">
        <w:rPr>
          <w:rFonts w:cs="Times New Roman"/>
          <w:color w:val="000000"/>
          <w:szCs w:val="24"/>
        </w:rPr>
        <w:t xml:space="preserve">Dr Valerie Williams, </w:t>
      </w:r>
      <w:r w:rsidR="002F3D5A">
        <w:rPr>
          <w:rFonts w:cs="Times New Roman"/>
          <w:color w:val="000000"/>
          <w:szCs w:val="24"/>
        </w:rPr>
        <w:t>Faculty</w:t>
      </w:r>
      <w:r w:rsidR="002F3D5A" w:rsidRPr="008F55C8">
        <w:rPr>
          <w:rFonts w:cs="Times New Roman"/>
          <w:color w:val="000000"/>
          <w:szCs w:val="24"/>
        </w:rPr>
        <w:t xml:space="preserve"> of Law</w:t>
      </w:r>
      <w:r w:rsidR="002F3D5A" w:rsidRPr="001641CD" w:rsidDel="002F3D5A">
        <w:rPr>
          <w:rFonts w:cs="Times New Roman"/>
          <w:color w:val="000000"/>
          <w:szCs w:val="24"/>
        </w:rPr>
        <w:t xml:space="preserve"> </w:t>
      </w:r>
    </w:p>
    <w:p w14:paraId="35EBE439" w14:textId="7696D5E6" w:rsidR="00AA15AB" w:rsidRDefault="0093321A" w:rsidP="0093321A">
      <w:pPr>
        <w:rPr>
          <w:rFonts w:cs="Times New Roman"/>
          <w:color w:val="000000"/>
          <w:szCs w:val="24"/>
        </w:rPr>
      </w:pPr>
      <w:r w:rsidRPr="00F562DA">
        <w:rPr>
          <w:rFonts w:cs="Times New Roman"/>
          <w:color w:val="000000"/>
          <w:szCs w:val="24"/>
        </w:rPr>
        <w:t xml:space="preserve">The role of </w:t>
      </w:r>
      <w:r w:rsidR="00D203EE">
        <w:rPr>
          <w:rFonts w:cs="Times New Roman"/>
          <w:color w:val="000000"/>
          <w:szCs w:val="24"/>
        </w:rPr>
        <w:t>PEAT</w:t>
      </w:r>
      <w:r w:rsidRPr="00F562DA">
        <w:rPr>
          <w:rFonts w:cs="Times New Roman"/>
          <w:color w:val="000000"/>
          <w:szCs w:val="24"/>
        </w:rPr>
        <w:t xml:space="preserve"> is to further </w:t>
      </w:r>
      <w:r w:rsidR="00F562DA" w:rsidRPr="00F562DA">
        <w:rPr>
          <w:rFonts w:cs="Times New Roman"/>
          <w:color w:val="000000"/>
          <w:szCs w:val="24"/>
        </w:rPr>
        <w:t>the</w:t>
      </w:r>
      <w:r w:rsidRPr="00F562DA">
        <w:rPr>
          <w:rFonts w:cs="Times New Roman"/>
          <w:color w:val="000000"/>
          <w:szCs w:val="24"/>
        </w:rPr>
        <w:t xml:space="preserve"> understanding of elder-abuse</w:t>
      </w:r>
      <w:r w:rsidR="00D203EE">
        <w:rPr>
          <w:rFonts w:cs="Times New Roman"/>
          <w:color w:val="000000"/>
          <w:szCs w:val="24"/>
        </w:rPr>
        <w:t xml:space="preserve"> and how it can be prevented</w:t>
      </w:r>
      <w:r w:rsidRPr="00F562DA">
        <w:rPr>
          <w:rFonts w:cs="Times New Roman"/>
          <w:color w:val="000000"/>
          <w:szCs w:val="24"/>
        </w:rPr>
        <w:t xml:space="preserve">. While specifically focussed on the Tasmanian context, </w:t>
      </w:r>
      <w:r w:rsidR="00D203EE">
        <w:rPr>
          <w:rFonts w:cs="Times New Roman"/>
          <w:color w:val="000000"/>
          <w:szCs w:val="24"/>
        </w:rPr>
        <w:t>PEAT</w:t>
      </w:r>
      <w:r w:rsidRPr="00F562DA">
        <w:rPr>
          <w:rFonts w:cs="Times New Roman"/>
          <w:color w:val="000000"/>
          <w:szCs w:val="24"/>
        </w:rPr>
        <w:t xml:space="preserve"> </w:t>
      </w:r>
      <w:r w:rsidR="00766E11">
        <w:rPr>
          <w:rFonts w:cs="Times New Roman"/>
          <w:color w:val="000000"/>
          <w:szCs w:val="24"/>
        </w:rPr>
        <w:t xml:space="preserve">is </w:t>
      </w:r>
      <w:r w:rsidRPr="00F562DA">
        <w:rPr>
          <w:rFonts w:cs="Times New Roman"/>
          <w:color w:val="000000"/>
          <w:szCs w:val="24"/>
        </w:rPr>
        <w:t xml:space="preserve">very aware of the significant effect the </w:t>
      </w:r>
      <w:r w:rsidR="00B42ED9">
        <w:rPr>
          <w:rFonts w:cs="Times New Roman"/>
          <w:color w:val="000000"/>
          <w:szCs w:val="24"/>
        </w:rPr>
        <w:t>n</w:t>
      </w:r>
      <w:r w:rsidRPr="00F562DA">
        <w:rPr>
          <w:rFonts w:cs="Times New Roman"/>
          <w:color w:val="000000"/>
          <w:szCs w:val="24"/>
        </w:rPr>
        <w:t>ational environment has on Tasmanian law, health and social process</w:t>
      </w:r>
      <w:r w:rsidR="00B42ED9">
        <w:rPr>
          <w:rFonts w:cs="Times New Roman"/>
          <w:color w:val="000000"/>
          <w:szCs w:val="24"/>
        </w:rPr>
        <w:t>es</w:t>
      </w:r>
      <w:r w:rsidRPr="00F562DA">
        <w:rPr>
          <w:rFonts w:cs="Times New Roman"/>
          <w:color w:val="000000"/>
          <w:szCs w:val="24"/>
        </w:rPr>
        <w:t xml:space="preserve">. For example, in </w:t>
      </w:r>
      <w:r w:rsidR="006E463D">
        <w:rPr>
          <w:rFonts w:cs="Times New Roman"/>
          <w:color w:val="000000"/>
          <w:szCs w:val="24"/>
        </w:rPr>
        <w:t xml:space="preserve">Q 4 and </w:t>
      </w:r>
      <w:r w:rsidR="005D51A2" w:rsidRPr="00F562DA">
        <w:rPr>
          <w:rFonts w:cs="Times New Roman"/>
          <w:color w:val="000000"/>
          <w:szCs w:val="24"/>
        </w:rPr>
        <w:t xml:space="preserve">Q6 it is noted that the Australian Law Reform Commission has recently released its report on </w:t>
      </w:r>
      <w:r w:rsidR="00F562DA" w:rsidRPr="00F562DA">
        <w:rPr>
          <w:rFonts w:cs="Times New Roman"/>
          <w:color w:val="000000"/>
          <w:szCs w:val="24"/>
        </w:rPr>
        <w:t>elder abuse (ALRC 131, May 2017). The impact of this report on Tasmanian law is uncertain, but should be considered in any future recommendations.</w:t>
      </w:r>
      <w:r w:rsidR="00F562DA">
        <w:rPr>
          <w:rFonts w:cs="Times New Roman"/>
          <w:color w:val="000000"/>
          <w:szCs w:val="24"/>
        </w:rPr>
        <w:t xml:space="preserve"> </w:t>
      </w:r>
    </w:p>
    <w:p w14:paraId="35D96099" w14:textId="3028CFCB" w:rsidR="00F562DA" w:rsidRDefault="00D66D46" w:rsidP="0093321A">
      <w:pPr>
        <w:rPr>
          <w:rFonts w:cs="Times New Roman"/>
          <w:color w:val="000000"/>
          <w:szCs w:val="24"/>
        </w:rPr>
      </w:pPr>
      <w:r>
        <w:rPr>
          <w:rFonts w:cs="Times New Roman"/>
          <w:color w:val="000000"/>
          <w:szCs w:val="24"/>
        </w:rPr>
        <w:t>A ke</w:t>
      </w:r>
      <w:r w:rsidR="00D203EE">
        <w:rPr>
          <w:rFonts w:cs="Times New Roman"/>
          <w:color w:val="000000"/>
          <w:szCs w:val="24"/>
        </w:rPr>
        <w:t xml:space="preserve">y focus of PEAT </w:t>
      </w:r>
      <w:r>
        <w:rPr>
          <w:rFonts w:cs="Times New Roman"/>
          <w:color w:val="000000"/>
          <w:szCs w:val="24"/>
        </w:rPr>
        <w:t xml:space="preserve">is to continue to </w:t>
      </w:r>
      <w:r w:rsidR="00B42ED9">
        <w:rPr>
          <w:rFonts w:cs="Times New Roman"/>
          <w:color w:val="000000"/>
          <w:szCs w:val="24"/>
        </w:rPr>
        <w:t xml:space="preserve">undertake </w:t>
      </w:r>
      <w:r>
        <w:rPr>
          <w:rFonts w:cs="Times New Roman"/>
          <w:color w:val="000000"/>
          <w:szCs w:val="24"/>
        </w:rPr>
        <w:t>research</w:t>
      </w:r>
      <w:r w:rsidR="00D203EE">
        <w:rPr>
          <w:rFonts w:cs="Times New Roman"/>
          <w:color w:val="000000"/>
          <w:szCs w:val="24"/>
        </w:rPr>
        <w:t xml:space="preserve"> into elder-abuse prevention</w:t>
      </w:r>
      <w:r w:rsidR="00B42ED9">
        <w:rPr>
          <w:rFonts w:cs="Times New Roman"/>
          <w:color w:val="000000"/>
          <w:szCs w:val="24"/>
        </w:rPr>
        <w:t>, and apply for funding to support this aim</w:t>
      </w:r>
      <w:r>
        <w:rPr>
          <w:rFonts w:cs="Times New Roman"/>
          <w:color w:val="000000"/>
          <w:szCs w:val="24"/>
        </w:rPr>
        <w:t xml:space="preserve">. </w:t>
      </w:r>
      <w:r w:rsidR="00F562DA">
        <w:rPr>
          <w:rFonts w:cs="Times New Roman"/>
          <w:color w:val="000000"/>
          <w:szCs w:val="24"/>
        </w:rPr>
        <w:t>The group has used funds from the initial CDI grant to emp</w:t>
      </w:r>
      <w:r>
        <w:rPr>
          <w:rFonts w:cs="Times New Roman"/>
          <w:color w:val="000000"/>
          <w:szCs w:val="24"/>
        </w:rPr>
        <w:t>loy</w:t>
      </w:r>
      <w:r w:rsidR="00F562DA">
        <w:rPr>
          <w:rFonts w:cs="Times New Roman"/>
          <w:color w:val="000000"/>
          <w:szCs w:val="24"/>
        </w:rPr>
        <w:t xml:space="preserve"> two research assistants to undertake a scoping paper of elder abuse f</w:t>
      </w:r>
      <w:r w:rsidR="005E6D05">
        <w:rPr>
          <w:rFonts w:cs="Times New Roman"/>
          <w:color w:val="000000"/>
          <w:szCs w:val="24"/>
        </w:rPr>
        <w:t>ro</w:t>
      </w:r>
      <w:r w:rsidR="00F562DA">
        <w:rPr>
          <w:rFonts w:cs="Times New Roman"/>
          <w:color w:val="000000"/>
          <w:szCs w:val="24"/>
        </w:rPr>
        <w:t>m a legal and sociological viewpoint. This work has informed the responses here</w:t>
      </w:r>
      <w:r>
        <w:rPr>
          <w:rFonts w:cs="Times New Roman"/>
          <w:color w:val="000000"/>
          <w:szCs w:val="24"/>
        </w:rPr>
        <w:t xml:space="preserve"> as well as the group’s application for </w:t>
      </w:r>
      <w:r w:rsidR="00D203EE" w:rsidRPr="00E006FC">
        <w:rPr>
          <w:rFonts w:cs="Times New Roman"/>
          <w:color w:val="000000"/>
          <w:szCs w:val="24"/>
        </w:rPr>
        <w:t>another UTAS</w:t>
      </w:r>
      <w:r w:rsidRPr="00E006FC">
        <w:rPr>
          <w:rFonts w:cs="Times New Roman"/>
          <w:color w:val="000000"/>
          <w:szCs w:val="24"/>
        </w:rPr>
        <w:t xml:space="preserve"> </w:t>
      </w:r>
      <w:r w:rsidRPr="005A2C26">
        <w:rPr>
          <w:rFonts w:cs="Times New Roman"/>
          <w:color w:val="000000"/>
          <w:szCs w:val="24"/>
        </w:rPr>
        <w:t xml:space="preserve">grant </w:t>
      </w:r>
      <w:r w:rsidR="00D203EE" w:rsidRPr="005A2C26">
        <w:rPr>
          <w:rFonts w:cs="Times New Roman"/>
          <w:color w:val="000000"/>
          <w:szCs w:val="24"/>
        </w:rPr>
        <w:t>(</w:t>
      </w:r>
      <w:r w:rsidR="00B42ED9" w:rsidRPr="005A2C26">
        <w:rPr>
          <w:rFonts w:cs="Times New Roman"/>
          <w:color w:val="000000"/>
          <w:szCs w:val="24"/>
        </w:rPr>
        <w:t>College of Arts and Law ‘Hot-house’ grant, awarded in 2016)</w:t>
      </w:r>
      <w:r w:rsidR="00D203EE" w:rsidRPr="00E006FC">
        <w:rPr>
          <w:rFonts w:cs="Times New Roman"/>
          <w:color w:val="000000"/>
          <w:szCs w:val="24"/>
        </w:rPr>
        <w:t xml:space="preserve"> </w:t>
      </w:r>
      <w:r w:rsidRPr="00E006FC">
        <w:rPr>
          <w:rFonts w:cs="Times New Roman"/>
          <w:color w:val="000000"/>
          <w:szCs w:val="24"/>
        </w:rPr>
        <w:t>to undertake</w:t>
      </w:r>
      <w:r>
        <w:rPr>
          <w:rFonts w:cs="Times New Roman"/>
          <w:color w:val="000000"/>
          <w:szCs w:val="24"/>
        </w:rPr>
        <w:t xml:space="preserve"> a qualitative study of Tasmanian policy responses to elder abuse across government and non-government (including health) agencies. </w:t>
      </w:r>
      <w:r w:rsidR="00D203EE">
        <w:rPr>
          <w:rFonts w:cs="Times New Roman"/>
          <w:color w:val="000000"/>
          <w:szCs w:val="24"/>
        </w:rPr>
        <w:t xml:space="preserve">From the group’s work, </w:t>
      </w:r>
      <w:r w:rsidR="00D203EE" w:rsidRPr="00D203EE">
        <w:rPr>
          <w:rFonts w:cs="Times New Roman"/>
          <w:color w:val="000000"/>
          <w:szCs w:val="24"/>
        </w:rPr>
        <w:t>it became clear that elder sexual abuse is one of the most understudied and least understood aspects of elder mistreatment.</w:t>
      </w:r>
      <w:r w:rsidR="00D203EE" w:rsidRPr="0020394E">
        <w:rPr>
          <w:szCs w:val="24"/>
        </w:rPr>
        <w:t xml:space="preserve"> </w:t>
      </w:r>
      <w:r w:rsidR="00D203EE" w:rsidRPr="00D203EE">
        <w:rPr>
          <w:rFonts w:cs="Times New Roman"/>
          <w:color w:val="000000"/>
          <w:szCs w:val="24"/>
        </w:rPr>
        <w:t xml:space="preserve">This has been the basis for a grant application to Australia’s National Research Organisation for </w:t>
      </w:r>
      <w:r w:rsidR="00D203EE" w:rsidRPr="00E006FC">
        <w:rPr>
          <w:rFonts w:cs="Times New Roman"/>
          <w:color w:val="000000"/>
          <w:szCs w:val="24"/>
        </w:rPr>
        <w:t xml:space="preserve">Women’s Safety (ANROWS). </w:t>
      </w:r>
      <w:r w:rsidRPr="00E006FC">
        <w:rPr>
          <w:rFonts w:cs="Times New Roman"/>
          <w:color w:val="000000"/>
          <w:szCs w:val="24"/>
        </w:rPr>
        <w:t xml:space="preserve">Further funding </w:t>
      </w:r>
      <w:r w:rsidRPr="005A2C26">
        <w:rPr>
          <w:rFonts w:cs="Times New Roman"/>
          <w:color w:val="000000"/>
          <w:szCs w:val="24"/>
        </w:rPr>
        <w:t>from the</w:t>
      </w:r>
      <w:r w:rsidR="00B42ED9" w:rsidRPr="005A2C26">
        <w:rPr>
          <w:rFonts w:cs="Times New Roman"/>
          <w:color w:val="000000"/>
          <w:szCs w:val="24"/>
        </w:rPr>
        <w:t xml:space="preserve"> Criminology, Law and Policing Fund (CLP) (2016)</w:t>
      </w:r>
      <w:r w:rsidRPr="005A2C26">
        <w:rPr>
          <w:rFonts w:cs="Times New Roman"/>
          <w:color w:val="000000"/>
          <w:szCs w:val="24"/>
        </w:rPr>
        <w:t xml:space="preserve"> </w:t>
      </w:r>
      <w:r w:rsidRPr="00E006FC">
        <w:rPr>
          <w:rFonts w:cs="Times New Roman"/>
          <w:color w:val="000000"/>
          <w:szCs w:val="24"/>
        </w:rPr>
        <w:t>supported a feasibility study for a ‘clearing-house’ for researchers, policy and law-</w:t>
      </w:r>
      <w:r>
        <w:rPr>
          <w:rFonts w:cs="Times New Roman"/>
          <w:color w:val="000000"/>
          <w:szCs w:val="24"/>
        </w:rPr>
        <w:t>makers, and potentially community organisations to access a centralised ‘library’ of resources on the prevention of elder-abuse. This project will be further developed in partnership with the Australian Association of Gerontology.</w:t>
      </w:r>
    </w:p>
    <w:p w14:paraId="262ABA56" w14:textId="5879CA4E" w:rsidR="00D66D46" w:rsidRPr="00F562DA" w:rsidRDefault="004E7313" w:rsidP="00B42ED9">
      <w:r>
        <w:t xml:space="preserve">PEAT is </w:t>
      </w:r>
      <w:r w:rsidR="00997C6E">
        <w:t>delighted</w:t>
      </w:r>
      <w:r>
        <w:t xml:space="preserve"> to have been </w:t>
      </w:r>
      <w:r w:rsidR="00997C6E">
        <w:t>asked</w:t>
      </w:r>
      <w:r>
        <w:t xml:space="preserve"> by Coroner McTaggart to assist in her </w:t>
      </w:r>
      <w:r w:rsidR="00997C6E">
        <w:t>preparation</w:t>
      </w:r>
      <w:r>
        <w:t xml:space="preserve"> for the inquest into the death of Mrs Janet </w:t>
      </w:r>
      <w:proofErr w:type="spellStart"/>
      <w:r>
        <w:t>Mackozdi</w:t>
      </w:r>
      <w:proofErr w:type="spellEnd"/>
      <w:r>
        <w:t xml:space="preserve">. The group’s combined knowledge and experience </w:t>
      </w:r>
      <w:r>
        <w:lastRenderedPageBreak/>
        <w:t>of sectors key to the prevention of elder abuse is driv</w:t>
      </w:r>
      <w:r w:rsidR="00997C6E">
        <w:t>i</w:t>
      </w:r>
      <w:r>
        <w:t>ng the</w:t>
      </w:r>
      <w:r w:rsidR="00997C6E">
        <w:t xml:space="preserve"> group’s</w:t>
      </w:r>
      <w:r>
        <w:t xml:space="preserve"> research direction toward </w:t>
      </w:r>
      <w:r w:rsidR="00997C6E">
        <w:t>practical</w:t>
      </w:r>
      <w:r>
        <w:t xml:space="preserve"> outcomes, such </w:t>
      </w:r>
      <w:r w:rsidR="00B42ED9">
        <w:t xml:space="preserve">as </w:t>
      </w:r>
      <w:r>
        <w:t xml:space="preserve">this inquest. </w:t>
      </w:r>
      <w:r w:rsidR="00997C6E">
        <w:t>Everyone in Tasmania knows about the ‘shipping container death’, and it is certain that the outcomes of this inquest will be as keenly reported as the original case. These community level conversations are critical in raising awareness to change the status quo of older persons in Tasmania and elsewhere.</w:t>
      </w:r>
    </w:p>
    <w:p w14:paraId="503B3DFF" w14:textId="77777777" w:rsidR="00555806" w:rsidRPr="00132507" w:rsidRDefault="007368C6" w:rsidP="00AA15AB">
      <w:pPr>
        <w:pStyle w:val="Heading1"/>
      </w:pPr>
      <w:r>
        <w:t>Q2.</w:t>
      </w:r>
      <w:r>
        <w:tab/>
      </w:r>
      <w:r w:rsidR="00AA15AB">
        <w:t>Tasmania’s definition of elder abuse</w:t>
      </w:r>
      <w:r w:rsidR="00555806" w:rsidRPr="00132507">
        <w:t xml:space="preserve"> </w:t>
      </w:r>
    </w:p>
    <w:p w14:paraId="0BC647CA" w14:textId="77777777" w:rsidR="00555806" w:rsidRPr="009A30EC" w:rsidRDefault="00555806" w:rsidP="005A2C26">
      <w:r w:rsidRPr="009A30EC">
        <w:t>The generally accepted definition of</w:t>
      </w:r>
      <w:r>
        <w:t xml:space="preserve"> elder abuse in Tasmania is</w:t>
      </w:r>
      <w:r w:rsidRPr="009A30EC">
        <w:t>:</w:t>
      </w:r>
    </w:p>
    <w:p w14:paraId="50BCD64A" w14:textId="77777777" w:rsidR="00555806" w:rsidRPr="000B0A7F" w:rsidRDefault="00555806" w:rsidP="00555806">
      <w:pPr>
        <w:pStyle w:val="Default"/>
        <w:spacing w:before="100" w:line="276" w:lineRule="auto"/>
        <w:ind w:left="1134" w:right="2222"/>
        <w:jc w:val="both"/>
        <w:rPr>
          <w:rFonts w:ascii="Times New Roman" w:hAnsi="Times New Roman" w:cs="Times New Roman"/>
          <w:i/>
          <w:sz w:val="20"/>
          <w:szCs w:val="20"/>
        </w:rPr>
      </w:pPr>
      <w:r w:rsidRPr="00132507">
        <w:rPr>
          <w:rFonts w:ascii="Times New Roman" w:hAnsi="Times New Roman" w:cs="Times New Roman"/>
          <w:i/>
          <w:sz w:val="20"/>
          <w:szCs w:val="20"/>
        </w:rPr>
        <w:t>Abuse of older people is a single or repeated act occurring within a relationship where there is an implication of trust, which causes harm to an older person.</w:t>
      </w:r>
      <w:r w:rsidRPr="00132507">
        <w:rPr>
          <w:rStyle w:val="FootnoteReference"/>
          <w:rFonts w:ascii="Times New Roman" w:hAnsi="Times New Roman" w:cs="Times New Roman"/>
        </w:rPr>
        <w:footnoteReference w:id="1"/>
      </w:r>
    </w:p>
    <w:p w14:paraId="7775C0C7" w14:textId="77777777" w:rsidR="007F1EF4" w:rsidRPr="00080A39" w:rsidRDefault="00555806" w:rsidP="005A2C26">
      <w:r w:rsidRPr="00080A39">
        <w:t xml:space="preserve">The Tasmanian government considers </w:t>
      </w:r>
      <w:r w:rsidR="007F1EF4" w:rsidRPr="00080A39">
        <w:t>this</w:t>
      </w:r>
      <w:r w:rsidRPr="00080A39">
        <w:t xml:space="preserve"> definition to be in line with international and national agreements on what constitutes elder abuse.</w:t>
      </w:r>
      <w:r w:rsidRPr="00080A39">
        <w:rPr>
          <w:rStyle w:val="FootnoteReference"/>
          <w:rFonts w:cs="Times New Roman"/>
        </w:rPr>
        <w:footnoteReference w:id="2"/>
      </w:r>
      <w:r w:rsidRPr="00080A39">
        <w:t xml:space="preserve">  </w:t>
      </w:r>
    </w:p>
    <w:p w14:paraId="7B7181B5" w14:textId="77777777" w:rsidR="00555806" w:rsidRPr="00080A39" w:rsidRDefault="00DD751A" w:rsidP="005A2C26">
      <w:r w:rsidRPr="00080A39">
        <w:t>The definition is a human rights conceptualisation of elder abuse that emphasises self-determination, autonomy and respect.  It was d</w:t>
      </w:r>
      <w:r w:rsidR="00555806" w:rsidRPr="00080A39">
        <w:t>eveloped by the United Kingdom group Action on Elder Abuse</w:t>
      </w:r>
      <w:r w:rsidRPr="00080A39">
        <w:t>.</w:t>
      </w:r>
      <w:r w:rsidR="00555806" w:rsidRPr="00080A39">
        <w:rPr>
          <w:rStyle w:val="FootnoteReference"/>
          <w:rFonts w:cs="Times New Roman"/>
        </w:rPr>
        <w:footnoteReference w:id="3"/>
      </w:r>
      <w:r w:rsidR="00555806" w:rsidRPr="00080A39">
        <w:t xml:space="preserve"> </w:t>
      </w:r>
      <w:r w:rsidRPr="00080A39">
        <w:t xml:space="preserve">It </w:t>
      </w:r>
      <w:r w:rsidR="00555806" w:rsidRPr="00080A39">
        <w:t>was subsequently adopted by the International Network for the Prevention of Elder Abuse</w:t>
      </w:r>
      <w:r w:rsidR="00555806" w:rsidRPr="00080A39">
        <w:rPr>
          <w:rStyle w:val="FootnoteReference"/>
          <w:rFonts w:cs="Times New Roman"/>
        </w:rPr>
        <w:footnoteReference w:id="4"/>
      </w:r>
      <w:r w:rsidR="00555806" w:rsidRPr="00080A39">
        <w:t xml:space="preserve"> which includes the Australian Network for the Prevention of Elder Abuse (ANPEA).</w:t>
      </w:r>
      <w:r w:rsidR="00555806" w:rsidRPr="00080A39">
        <w:rPr>
          <w:rStyle w:val="FootnoteReference"/>
          <w:rFonts w:cs="Times New Roman"/>
        </w:rPr>
        <w:footnoteReference w:id="5"/>
      </w:r>
      <w:r w:rsidR="00555806" w:rsidRPr="00080A39">
        <w:t xml:space="preserve"> It </w:t>
      </w:r>
      <w:r w:rsidRPr="00080A39">
        <w:t>is used to inform</w:t>
      </w:r>
      <w:r w:rsidR="00555806" w:rsidRPr="00080A39">
        <w:t xml:space="preserve"> the policies of the Council on the Aging (COTA), the peak body representing the rights, needs and interests of older Australians, and is consistently used in the government elder abuse strategies of all Australian states.</w:t>
      </w:r>
      <w:r w:rsidR="00555806" w:rsidRPr="00080A39">
        <w:rPr>
          <w:rStyle w:val="FootnoteReference"/>
          <w:rFonts w:cs="Times New Roman"/>
        </w:rPr>
        <w:footnoteReference w:id="6"/>
      </w:r>
      <w:r w:rsidR="00555806" w:rsidRPr="00080A39">
        <w:t xml:space="preserve"> </w:t>
      </w:r>
    </w:p>
    <w:p w14:paraId="4C8A00DA" w14:textId="77777777" w:rsidR="00DD751A" w:rsidRPr="00080A39" w:rsidRDefault="00555806" w:rsidP="005A2C26">
      <w:r w:rsidRPr="00080A39">
        <w:t>However, globally</w:t>
      </w:r>
      <w:r w:rsidR="00C27E50">
        <w:t xml:space="preserve">, </w:t>
      </w:r>
      <w:r w:rsidR="00C27E50" w:rsidRPr="00080A39">
        <w:t>the common view held</w:t>
      </w:r>
      <w:r w:rsidRPr="00080A39">
        <w:t xml:space="preserve"> amongst researchers</w:t>
      </w:r>
      <w:r w:rsidR="00C27E50">
        <w:t xml:space="preserve"> is</w:t>
      </w:r>
      <w:r w:rsidRPr="00080A39">
        <w:t xml:space="preserve"> that there is, in fact, ‘no consensus on the definition of elder abuse or standard term for elder abuse consistently used by the scientific and practice communities, advocates, or state and local governments.’</w:t>
      </w:r>
      <w:r w:rsidRPr="00080A39">
        <w:rPr>
          <w:rStyle w:val="FootnoteReference"/>
          <w:rFonts w:cs="Times New Roman"/>
        </w:rPr>
        <w:footnoteReference w:id="7"/>
      </w:r>
      <w:r w:rsidR="00DD751A" w:rsidRPr="00080A39">
        <w:t xml:space="preserve">  </w:t>
      </w:r>
      <w:r w:rsidRPr="00080A39">
        <w:t>Terms such as ‘elder abuse’</w:t>
      </w:r>
      <w:r w:rsidRPr="00080A39">
        <w:rPr>
          <w:rStyle w:val="FootnoteReference"/>
          <w:rFonts w:cs="Times New Roman"/>
        </w:rPr>
        <w:footnoteReference w:id="8"/>
      </w:r>
      <w:r w:rsidRPr="00080A39">
        <w:t>, ‘elder mistreatment’</w:t>
      </w:r>
      <w:r w:rsidRPr="00080A39">
        <w:rPr>
          <w:rStyle w:val="FootnoteReference"/>
          <w:rFonts w:cs="Times New Roman"/>
        </w:rPr>
        <w:footnoteReference w:id="9"/>
      </w:r>
      <w:r w:rsidRPr="00080A39">
        <w:t xml:space="preserve"> and ‘elder maltreatment’</w:t>
      </w:r>
      <w:r w:rsidRPr="00080A39">
        <w:rPr>
          <w:rStyle w:val="FootnoteReference"/>
          <w:rFonts w:cs="Times New Roman"/>
        </w:rPr>
        <w:footnoteReference w:id="10"/>
      </w:r>
      <w:r w:rsidRPr="00080A39">
        <w:t xml:space="preserve"> </w:t>
      </w:r>
      <w:r w:rsidR="00C4216A" w:rsidRPr="00080A39">
        <w:t xml:space="preserve">are often used </w:t>
      </w:r>
      <w:r w:rsidR="00C4216A" w:rsidRPr="00080A39">
        <w:lastRenderedPageBreak/>
        <w:t>interchangeably.  T</w:t>
      </w:r>
      <w:r w:rsidRPr="00080A39">
        <w:t>he parameters of both the abuse</w:t>
      </w:r>
      <w:r w:rsidR="00C4216A" w:rsidRPr="00080A39">
        <w:t>,</w:t>
      </w:r>
      <w:r w:rsidRPr="00080A39">
        <w:t xml:space="preserve"> and the persons covered</w:t>
      </w:r>
      <w:r w:rsidR="00C4216A" w:rsidRPr="00080A39">
        <w:t>,</w:t>
      </w:r>
      <w:r w:rsidRPr="00080A39">
        <w:t xml:space="preserve"> vary widely,</w:t>
      </w:r>
      <w:r w:rsidRPr="00080A39">
        <w:rPr>
          <w:rStyle w:val="FootnoteReference"/>
          <w:rFonts w:cs="Times New Roman"/>
        </w:rPr>
        <w:footnoteReference w:id="11"/>
      </w:r>
      <w:r w:rsidRPr="00080A39">
        <w:t xml:space="preserve"> result</w:t>
      </w:r>
      <w:r w:rsidR="00FB679E" w:rsidRPr="00080A39">
        <w:t>ing</w:t>
      </w:r>
      <w:r w:rsidRPr="00080A39">
        <w:t xml:space="preserve"> in confusion </w:t>
      </w:r>
      <w:r w:rsidR="00FB679E" w:rsidRPr="00080A39">
        <w:t>surrounding what elder abuse is,</w:t>
      </w:r>
      <w:r w:rsidR="0025694A" w:rsidRPr="00080A39">
        <w:rPr>
          <w:rStyle w:val="FootnoteReference"/>
          <w:rFonts w:cs="Times New Roman"/>
        </w:rPr>
        <w:footnoteReference w:id="12"/>
      </w:r>
      <w:r w:rsidRPr="00080A39">
        <w:t xml:space="preserve"> limiting generalizing findings </w:t>
      </w:r>
      <w:r w:rsidR="00FB679E" w:rsidRPr="00080A39">
        <w:t>across studies,</w:t>
      </w:r>
      <w:r w:rsidRPr="00080A39">
        <w:t xml:space="preserve"> and prohibiting the identification of common courses for effective intervention.</w:t>
      </w:r>
      <w:r w:rsidRPr="00080A39">
        <w:rPr>
          <w:rStyle w:val="FootnoteReference"/>
          <w:rFonts w:cs="Times New Roman"/>
        </w:rPr>
        <w:footnoteReference w:id="13"/>
      </w:r>
      <w:r w:rsidRPr="00080A39">
        <w:t xml:space="preserve"> </w:t>
      </w:r>
    </w:p>
    <w:p w14:paraId="654F8E06" w14:textId="77777777" w:rsidR="00555806" w:rsidRDefault="00C27E50" w:rsidP="005A2C26">
      <w:r>
        <w:t>This</w:t>
      </w:r>
      <w:r w:rsidR="00555806" w:rsidRPr="00080A39">
        <w:t xml:space="preserve"> ‘absence of a precise agreed definition is considered problematic for a range of reasons, not the least of which is, the difficulty in measuring elder abuse’.</w:t>
      </w:r>
      <w:r w:rsidR="00555806" w:rsidRPr="00080A39">
        <w:rPr>
          <w:rStyle w:val="FootnoteReference"/>
          <w:rFonts w:cs="Times New Roman"/>
        </w:rPr>
        <w:footnoteReference w:id="14"/>
      </w:r>
      <w:r w:rsidR="00555806" w:rsidRPr="00080A39">
        <w:t xml:space="preserve"> For example, </w:t>
      </w:r>
      <w:r>
        <w:t>what age does one become a target group</w:t>
      </w:r>
      <w:r w:rsidR="00FB679E" w:rsidRPr="00080A39">
        <w:t xml:space="preserve"> </w:t>
      </w:r>
      <w:r w:rsidR="00555806" w:rsidRPr="00080A39">
        <w:t xml:space="preserve">‘elder’?  </w:t>
      </w:r>
      <w:r w:rsidR="00FC2591" w:rsidRPr="00080A39">
        <w:t>The W</w:t>
      </w:r>
      <w:r w:rsidR="007F1EF4" w:rsidRPr="00080A39">
        <w:t xml:space="preserve">orld </w:t>
      </w:r>
      <w:r w:rsidR="00FC2591" w:rsidRPr="00080A39">
        <w:t>H</w:t>
      </w:r>
      <w:r w:rsidR="007F1EF4" w:rsidRPr="00080A39">
        <w:t xml:space="preserve">ealth </w:t>
      </w:r>
      <w:r w:rsidR="00FC2591" w:rsidRPr="00080A39">
        <w:t>O</w:t>
      </w:r>
      <w:r w:rsidR="007F1EF4" w:rsidRPr="00080A39">
        <w:t>rganisation</w:t>
      </w:r>
      <w:r w:rsidR="00FC2591" w:rsidRPr="00080A39">
        <w:t xml:space="preserve"> </w:t>
      </w:r>
      <w:r w:rsidR="00C1073D" w:rsidRPr="00080A39">
        <w:t>defines</w:t>
      </w:r>
      <w:r w:rsidR="00FC2591" w:rsidRPr="00080A39">
        <w:t xml:space="preserve"> the</w:t>
      </w:r>
      <w:r w:rsidR="007F1EF4" w:rsidRPr="00080A39">
        <w:t xml:space="preserve"> commencement</w:t>
      </w:r>
      <w:r w:rsidR="00FC2591" w:rsidRPr="00080A39">
        <w:t xml:space="preserve"> age as 60, as </w:t>
      </w:r>
      <w:r w:rsidR="00C1073D" w:rsidRPr="00080A39">
        <w:t>does</w:t>
      </w:r>
      <w:r w:rsidR="00FC2591" w:rsidRPr="00080A39">
        <w:t xml:space="preserve"> the U.S. Centre for Disease Control.  </w:t>
      </w:r>
      <w:r w:rsidR="00C4216A" w:rsidRPr="00080A39">
        <w:t>In Australia, however, for statistical</w:t>
      </w:r>
      <w:r>
        <w:t>,</w:t>
      </w:r>
      <w:r w:rsidR="00C4216A" w:rsidRPr="00080A39">
        <w:t xml:space="preserve"> and </w:t>
      </w:r>
      <w:r>
        <w:t xml:space="preserve">a </w:t>
      </w:r>
      <w:r w:rsidR="00C4216A" w:rsidRPr="00080A39">
        <w:t>range of other purposes, including access to the pension</w:t>
      </w:r>
      <w:r>
        <w:t>,</w:t>
      </w:r>
      <w:r w:rsidR="00C4216A" w:rsidRPr="00080A39">
        <w:t xml:space="preserve"> 65</w:t>
      </w:r>
      <w:r w:rsidR="007F1EF4" w:rsidRPr="00080A39">
        <w:rPr>
          <w:rStyle w:val="FootnoteReference"/>
          <w:rFonts w:cs="Times New Roman"/>
        </w:rPr>
        <w:footnoteReference w:id="15"/>
      </w:r>
      <w:r w:rsidR="007F1EF4" w:rsidRPr="00080A39">
        <w:t xml:space="preserve"> </w:t>
      </w:r>
      <w:r>
        <w:t>is</w:t>
      </w:r>
      <w:r w:rsidR="00C4216A" w:rsidRPr="00080A39">
        <w:t xml:space="preserve"> the s</w:t>
      </w:r>
      <w:r w:rsidR="007F1EF4" w:rsidRPr="00080A39">
        <w:t>tarting point for status as an ‘elder’</w:t>
      </w:r>
      <w:r>
        <w:t xml:space="preserve"> although</w:t>
      </w:r>
      <w:r w:rsidR="00C4216A" w:rsidRPr="00080A39">
        <w:t xml:space="preserve"> 70 is the age for access to aged care services.</w:t>
      </w:r>
      <w:r w:rsidR="00FC2591" w:rsidRPr="00080A39">
        <w:rPr>
          <w:rStyle w:val="FootnoteReference"/>
          <w:rFonts w:cs="Times New Roman"/>
        </w:rPr>
        <w:footnoteReference w:id="16"/>
      </w:r>
      <w:r w:rsidR="00C4216A" w:rsidRPr="00080A39">
        <w:t xml:space="preserve"> </w:t>
      </w:r>
      <w:r w:rsidRPr="00080A39">
        <w:t xml:space="preserve">The literature on ageing distinguishes between ‘old’ people (65-84 years) and ‘old </w:t>
      </w:r>
      <w:proofErr w:type="spellStart"/>
      <w:r w:rsidRPr="00080A39">
        <w:t>old</w:t>
      </w:r>
      <w:proofErr w:type="spellEnd"/>
      <w:r w:rsidRPr="00080A39">
        <w:t>’ people, aged 85 and above.</w:t>
      </w:r>
      <w:r w:rsidRPr="00080A39">
        <w:rPr>
          <w:rStyle w:val="FootnoteReference"/>
          <w:rFonts w:cs="Times New Roman"/>
        </w:rPr>
        <w:footnoteReference w:id="17"/>
      </w:r>
      <w:r w:rsidRPr="00080A39">
        <w:t xml:space="preserve">  </w:t>
      </w:r>
      <w:r>
        <w:t>Yet f</w:t>
      </w:r>
      <w:r w:rsidR="00C4216A" w:rsidRPr="00080A39">
        <w:t xml:space="preserve">or Aboriginal and Torres Strait Islander peoples, who have a substantially lower life expectancy than non-Indigenous peoples, a lower age for those </w:t>
      </w:r>
      <w:r w:rsidR="00B34180" w:rsidRPr="00080A39">
        <w:t>who are ‘older’</w:t>
      </w:r>
      <w:r w:rsidR="00C4216A" w:rsidRPr="00080A39">
        <w:t xml:space="preserve"> is considered </w:t>
      </w:r>
      <w:r>
        <w:t xml:space="preserve">to be </w:t>
      </w:r>
      <w:r w:rsidR="00C4216A" w:rsidRPr="00080A39">
        <w:t>appropriate (e.g., 45-50 years</w:t>
      </w:r>
      <w:r w:rsidR="00B34180" w:rsidRPr="00080A39">
        <w:t>).</w:t>
      </w:r>
      <w:r w:rsidR="00FB679E" w:rsidRPr="00080A39">
        <w:rPr>
          <w:rStyle w:val="FootnoteReference"/>
          <w:rFonts w:cs="Times New Roman"/>
        </w:rPr>
        <w:footnoteReference w:id="18"/>
      </w:r>
      <w:r w:rsidR="00B34180" w:rsidRPr="00080A39">
        <w:t xml:space="preserve"> </w:t>
      </w:r>
      <w:r>
        <w:t xml:space="preserve"> So</w:t>
      </w:r>
      <w:r w:rsidR="0039729F">
        <w:t>,</w:t>
      </w:r>
      <w:r w:rsidR="00555806" w:rsidRPr="00080A39">
        <w:t xml:space="preserve"> should age be the defining aspect of elder abuse at all </w:t>
      </w:r>
      <w:r>
        <w:t>or</w:t>
      </w:r>
      <w:r w:rsidR="0039729F">
        <w:t>,</w:t>
      </w:r>
      <w:r>
        <w:t xml:space="preserve"> should it</w:t>
      </w:r>
      <w:r w:rsidR="00555806" w:rsidRPr="00080A39">
        <w:t xml:space="preserve"> instead be conceptualised on the basis of ‘an assessment of capacity for</w:t>
      </w:r>
      <w:r w:rsidR="0025694A" w:rsidRPr="00080A39">
        <w:t xml:space="preserve"> self-care and self-protection’?</w:t>
      </w:r>
      <w:r w:rsidR="00555806" w:rsidRPr="00080A39">
        <w:rPr>
          <w:rStyle w:val="FootnoteReference"/>
          <w:rFonts w:cs="Times New Roman"/>
        </w:rPr>
        <w:footnoteReference w:id="19"/>
      </w:r>
      <w:r w:rsidR="00555806" w:rsidRPr="00080A39">
        <w:t xml:space="preserve">  </w:t>
      </w:r>
    </w:p>
    <w:p w14:paraId="79438F34" w14:textId="02DDB8C0" w:rsidR="00DA4804" w:rsidRPr="00742DE9" w:rsidRDefault="00DA4804" w:rsidP="00DA4804">
      <w:pPr>
        <w:pStyle w:val="Heading1"/>
        <w:rPr>
          <w:rFonts w:eastAsiaTheme="minorHAnsi"/>
        </w:rPr>
      </w:pPr>
      <w:r>
        <w:rPr>
          <w:rFonts w:eastAsiaTheme="minorHAnsi"/>
        </w:rPr>
        <w:t xml:space="preserve">Q3. </w:t>
      </w:r>
      <w:r w:rsidRPr="00742DE9">
        <w:rPr>
          <w:rFonts w:eastAsiaTheme="minorHAnsi"/>
        </w:rPr>
        <w:t>The extent of elder-abuse is uncertain</w:t>
      </w:r>
    </w:p>
    <w:p w14:paraId="2FD9C2BD" w14:textId="3209E55C" w:rsidR="00DA4804" w:rsidRPr="00B70D73" w:rsidRDefault="00DA4804" w:rsidP="007F3D03">
      <w:pPr>
        <w:rPr>
          <w:lang w:eastAsia="en-AU"/>
        </w:rPr>
      </w:pPr>
      <w:r w:rsidRPr="00B70D73">
        <w:rPr>
          <w:lang w:eastAsia="en-AU"/>
        </w:rPr>
        <w:t xml:space="preserve">Given the numerous risk factors and a growing number of vulnerable elderly in Tasmania, it is of concern that the extent of elder abuse is uncertain. The World Health Organisation estimates that </w:t>
      </w:r>
      <w:r w:rsidRPr="00B70D73">
        <w:rPr>
          <w:lang w:eastAsia="en-AU"/>
        </w:rPr>
        <w:lastRenderedPageBreak/>
        <w:t>the prevalence of elder-abuse ranges from 1-10% (WHO 2015)</w:t>
      </w:r>
      <w:r w:rsidRPr="00997C6E">
        <w:rPr>
          <w:vertAlign w:val="superscript"/>
          <w:lang w:eastAsia="en-AU"/>
        </w:rPr>
        <w:footnoteReference w:id="20"/>
      </w:r>
      <w:r w:rsidRPr="00B70D73">
        <w:rPr>
          <w:lang w:eastAsia="en-AU"/>
        </w:rPr>
        <w:t>. This estimate was, however, based on a limited number of studies.</w:t>
      </w:r>
    </w:p>
    <w:p w14:paraId="5010A872" w14:textId="77777777" w:rsidR="00DA4804" w:rsidRPr="00B70D73" w:rsidRDefault="00DA4804" w:rsidP="007F3D03">
      <w:pPr>
        <w:rPr>
          <w:lang w:eastAsia="en-AU"/>
        </w:rPr>
      </w:pPr>
      <w:r w:rsidRPr="00B70D73">
        <w:rPr>
          <w:lang w:eastAsia="en-AU"/>
        </w:rPr>
        <w:t>The few Australian studies estimate rates of 3% (McCallum 1993), 4.6% (Sadler 1994), and 5% (</w:t>
      </w:r>
      <w:proofErr w:type="spellStart"/>
      <w:r w:rsidRPr="00B70D73">
        <w:rPr>
          <w:lang w:eastAsia="en-AU"/>
        </w:rPr>
        <w:t>Kurrle</w:t>
      </w:r>
      <w:proofErr w:type="spellEnd"/>
      <w:r w:rsidRPr="00B70D73">
        <w:rPr>
          <w:lang w:eastAsia="en-AU"/>
        </w:rPr>
        <w:t xml:space="preserve"> et al. 1992, 1997; Livermore et al. 2001, Cooper, Selwood &amp; Livingston 2008). Overall, Australia lacks reliable national reporting of elder abuse (</w:t>
      </w:r>
      <w:proofErr w:type="spellStart"/>
      <w:r w:rsidRPr="00B70D73">
        <w:rPr>
          <w:lang w:eastAsia="en-AU"/>
        </w:rPr>
        <w:t>Boldy</w:t>
      </w:r>
      <w:proofErr w:type="spellEnd"/>
      <w:r w:rsidRPr="00B70D73">
        <w:rPr>
          <w:lang w:eastAsia="en-AU"/>
        </w:rPr>
        <w:t xml:space="preserve"> et al. 2007). In the most comprehensive analysis of elder-abuse reporting in Australia to date, The Elder Abuse Prevention Unit (Queensland)</w:t>
      </w:r>
      <w:r w:rsidRPr="00997C6E">
        <w:rPr>
          <w:vertAlign w:val="superscript"/>
          <w:lang w:eastAsia="en-AU"/>
        </w:rPr>
        <w:footnoteReference w:id="21"/>
      </w:r>
      <w:r w:rsidRPr="00997C6E">
        <w:rPr>
          <w:vertAlign w:val="superscript"/>
          <w:lang w:eastAsia="en-AU"/>
        </w:rPr>
        <w:t xml:space="preserve"> </w:t>
      </w:r>
      <w:r w:rsidRPr="00B70D73">
        <w:rPr>
          <w:lang w:eastAsia="en-AU"/>
        </w:rPr>
        <w:t xml:space="preserve">analysed five years of their help-line call data. A total of 5,785 victims were identified in the calls, the most common age group of victims was 80-84 years (23%) and the majority (70%) were women. In their conclusion, the authors of this study argue that this data represents ‘the tip of the iceberg’ of cases due to the very nature of elder-abuse where the victim is intimidated and isolated from services such as access to a phone (Spike 2015). </w:t>
      </w:r>
    </w:p>
    <w:p w14:paraId="2A1B0AD0" w14:textId="0B4FD6F2" w:rsidR="00DA4804" w:rsidRDefault="00DA4804" w:rsidP="007F3D03">
      <w:pPr>
        <w:rPr>
          <w:lang w:eastAsia="en-AU"/>
        </w:rPr>
      </w:pPr>
      <w:r w:rsidRPr="00B70D73">
        <w:rPr>
          <w:lang w:eastAsia="en-AU"/>
        </w:rPr>
        <w:t>Similar to other states, Tasmania has an elder-abuse hotline. It is operated by Advocacy Tasmania</w:t>
      </w:r>
      <w:r w:rsidR="00B42ED9">
        <w:rPr>
          <w:lang w:eastAsia="en-AU"/>
        </w:rPr>
        <w:t>.</w:t>
      </w:r>
      <w:r w:rsidRPr="007F3D03">
        <w:rPr>
          <w:vertAlign w:val="superscript"/>
          <w:lang w:eastAsia="en-AU"/>
        </w:rPr>
        <w:footnoteReference w:id="22"/>
      </w:r>
      <w:r w:rsidRPr="00B70D73">
        <w:rPr>
          <w:lang w:eastAsia="en-AU"/>
        </w:rPr>
        <w:t xml:space="preserve"> A case study report is available</w:t>
      </w:r>
      <w:r w:rsidR="00FD6B4C">
        <w:rPr>
          <w:rStyle w:val="FootnoteReference"/>
          <w:lang w:eastAsia="en-AU"/>
        </w:rPr>
        <w:footnoteReference w:id="23"/>
      </w:r>
      <w:r w:rsidR="00FD6B4C">
        <w:rPr>
          <w:lang w:eastAsia="en-AU"/>
        </w:rPr>
        <w:t xml:space="preserve"> </w:t>
      </w:r>
      <w:r w:rsidRPr="00B70D73">
        <w:rPr>
          <w:lang w:eastAsia="en-AU"/>
        </w:rPr>
        <w:t>but there appears to be no quantitative analysis of the use of this service, or any other approach to examining the extent of elder-abuse in Tasmania to date. Community based health and welfare practitioners in Tasmania report elder-abuse cases as being ‘difficult, complex and at times dangerous’</w:t>
      </w:r>
      <w:r w:rsidR="00B42ED9">
        <w:rPr>
          <w:lang w:eastAsia="en-AU"/>
        </w:rPr>
        <w:t xml:space="preserve"> </w:t>
      </w:r>
      <w:r w:rsidR="00FD6B4C" w:rsidRPr="00B70D73">
        <w:rPr>
          <w:lang w:eastAsia="en-AU"/>
        </w:rPr>
        <w:t>(Cairns &amp; Vreugdenhil 2014</w:t>
      </w:r>
      <w:r w:rsidR="00FD6B4C">
        <w:rPr>
          <w:lang w:eastAsia="en-AU"/>
        </w:rPr>
        <w:t>,</w:t>
      </w:r>
      <w:r w:rsidR="009C641E">
        <w:rPr>
          <w:lang w:eastAsia="en-AU"/>
        </w:rPr>
        <w:t>p.59</w:t>
      </w:r>
      <w:r w:rsidR="00FD6B4C">
        <w:rPr>
          <w:lang w:eastAsia="en-AU"/>
        </w:rPr>
        <w:t xml:space="preserve"> </w:t>
      </w:r>
      <w:r w:rsidR="00FD6B4C" w:rsidRPr="00B70D73">
        <w:rPr>
          <w:lang w:eastAsia="en-AU"/>
        </w:rPr>
        <w:t>)</w:t>
      </w:r>
      <w:r w:rsidRPr="00B70D73">
        <w:rPr>
          <w:lang w:eastAsia="en-AU"/>
        </w:rPr>
        <w:t xml:space="preserve">. The key </w:t>
      </w:r>
      <w:r w:rsidR="006E463D">
        <w:rPr>
          <w:lang w:eastAsia="en-AU"/>
        </w:rPr>
        <w:t xml:space="preserve">areas of concern </w:t>
      </w:r>
      <w:r w:rsidRPr="00B70D73">
        <w:rPr>
          <w:lang w:eastAsia="en-AU"/>
        </w:rPr>
        <w:t xml:space="preserve">are intimidation and threat by family members, </w:t>
      </w:r>
      <w:r w:rsidR="006E463D">
        <w:rPr>
          <w:lang w:eastAsia="en-AU"/>
        </w:rPr>
        <w:t xml:space="preserve">the difficulties relevant agencies and professionals face in </w:t>
      </w:r>
      <w:r w:rsidRPr="00B70D73">
        <w:rPr>
          <w:lang w:eastAsia="en-AU"/>
        </w:rPr>
        <w:t xml:space="preserve">balancing duty of care with client rights, and a lack of organisational support </w:t>
      </w:r>
      <w:bookmarkStart w:id="0" w:name="_Hlk488254052"/>
      <w:r w:rsidRPr="00B70D73">
        <w:rPr>
          <w:lang w:eastAsia="en-AU"/>
        </w:rPr>
        <w:t>(Cairns &amp; Vreugdenhil 2014)</w:t>
      </w:r>
      <w:bookmarkEnd w:id="0"/>
      <w:r w:rsidRPr="00B70D73">
        <w:rPr>
          <w:lang w:eastAsia="en-AU"/>
        </w:rPr>
        <w:t>.</w:t>
      </w:r>
    </w:p>
    <w:p w14:paraId="6A7A8887" w14:textId="4F8BDCE8" w:rsidR="00B70D73" w:rsidRDefault="00997C6E" w:rsidP="007F3D03">
      <w:pPr>
        <w:rPr>
          <w:lang w:eastAsia="en-AU"/>
        </w:rPr>
      </w:pPr>
      <w:r>
        <w:rPr>
          <w:lang w:eastAsia="en-AU"/>
        </w:rPr>
        <w:t xml:space="preserve">In answer to the question – are you able to assist with statistics and </w:t>
      </w:r>
      <w:r w:rsidR="002F4EB2">
        <w:rPr>
          <w:lang w:eastAsia="en-AU"/>
        </w:rPr>
        <w:t>research</w:t>
      </w:r>
      <w:r>
        <w:rPr>
          <w:lang w:eastAsia="en-AU"/>
        </w:rPr>
        <w:t xml:space="preserve"> regarding the prevalence of elder abuse? The answer is ‘yes’ but the group does not have access to any data to analyse. To access the Tasmania call-centre data would require ethics approval which would be difficult </w:t>
      </w:r>
      <w:r w:rsidR="006E463D">
        <w:rPr>
          <w:lang w:eastAsia="en-AU"/>
        </w:rPr>
        <w:t xml:space="preserve">to obtain </w:t>
      </w:r>
      <w:r>
        <w:rPr>
          <w:lang w:eastAsia="en-AU"/>
        </w:rPr>
        <w:t xml:space="preserve">because of the sensitive nature of the data and privacy concerns. </w:t>
      </w:r>
    </w:p>
    <w:p w14:paraId="79D4A15E" w14:textId="77777777" w:rsidR="00B42ED9" w:rsidRDefault="00997C6E" w:rsidP="007F3D03">
      <w:pPr>
        <w:pStyle w:val="Heading3"/>
        <w:rPr>
          <w:rFonts w:eastAsia="Times New Roman"/>
          <w:lang w:eastAsia="en-AU"/>
        </w:rPr>
      </w:pPr>
      <w:r w:rsidRPr="007F3D03">
        <w:rPr>
          <w:rFonts w:asciiTheme="majorHAnsi" w:hAnsiTheme="majorHAnsi"/>
        </w:rPr>
        <w:t>Recommendation</w:t>
      </w:r>
    </w:p>
    <w:p w14:paraId="6D3F9CCA" w14:textId="47900A70" w:rsidR="00997C6E" w:rsidRDefault="00997C6E" w:rsidP="007F3D03">
      <w:pPr>
        <w:rPr>
          <w:lang w:eastAsia="en-AU"/>
        </w:rPr>
      </w:pPr>
      <w:r>
        <w:rPr>
          <w:lang w:eastAsia="en-AU"/>
        </w:rPr>
        <w:t>T</w:t>
      </w:r>
      <w:r w:rsidR="00B42ED9">
        <w:rPr>
          <w:lang w:eastAsia="en-AU"/>
        </w:rPr>
        <w:t>hat T</w:t>
      </w:r>
      <w:r>
        <w:rPr>
          <w:lang w:eastAsia="en-AU"/>
        </w:rPr>
        <w:t xml:space="preserve">asmanian call-centre data collection </w:t>
      </w:r>
      <w:r w:rsidR="005E6D05">
        <w:rPr>
          <w:lang w:eastAsia="en-AU"/>
        </w:rPr>
        <w:t xml:space="preserve">be </w:t>
      </w:r>
      <w:r>
        <w:rPr>
          <w:lang w:eastAsia="en-AU"/>
        </w:rPr>
        <w:t>reviewed and any potential barriers to analysis be identified and resolved. Further sources of data should be considere</w:t>
      </w:r>
      <w:r w:rsidR="002F4EB2">
        <w:rPr>
          <w:lang w:eastAsia="en-AU"/>
        </w:rPr>
        <w:t>d</w:t>
      </w:r>
      <w:r>
        <w:rPr>
          <w:lang w:eastAsia="en-AU"/>
        </w:rPr>
        <w:t xml:space="preserve">. </w:t>
      </w:r>
      <w:r w:rsidR="002F4EB2">
        <w:rPr>
          <w:lang w:eastAsia="en-AU"/>
        </w:rPr>
        <w:t>For example</w:t>
      </w:r>
      <w:r>
        <w:rPr>
          <w:lang w:eastAsia="en-AU"/>
        </w:rPr>
        <w:t xml:space="preserve"> police</w:t>
      </w:r>
      <w:r w:rsidR="002F4EB2">
        <w:rPr>
          <w:lang w:eastAsia="en-AU"/>
        </w:rPr>
        <w:t xml:space="preserve"> records, </w:t>
      </w:r>
      <w:r>
        <w:rPr>
          <w:lang w:eastAsia="en-AU"/>
        </w:rPr>
        <w:t xml:space="preserve">hospital </w:t>
      </w:r>
      <w:r w:rsidR="002F4EB2">
        <w:rPr>
          <w:lang w:eastAsia="en-AU"/>
        </w:rPr>
        <w:t xml:space="preserve">and community health service </w:t>
      </w:r>
      <w:r>
        <w:rPr>
          <w:lang w:eastAsia="en-AU"/>
        </w:rPr>
        <w:t>notes</w:t>
      </w:r>
      <w:r w:rsidR="002F4EB2">
        <w:rPr>
          <w:lang w:eastAsia="en-AU"/>
        </w:rPr>
        <w:t>.</w:t>
      </w:r>
    </w:p>
    <w:p w14:paraId="3C6EE526" w14:textId="77777777" w:rsidR="00B70D73" w:rsidRPr="00B70D73" w:rsidRDefault="00B70D73" w:rsidP="007F3D03">
      <w:pPr>
        <w:pStyle w:val="Heading2"/>
        <w:rPr>
          <w:rFonts w:eastAsia="Times New Roman"/>
          <w:lang w:eastAsia="en-AU"/>
        </w:rPr>
      </w:pPr>
      <w:r>
        <w:rPr>
          <w:rFonts w:eastAsia="Times New Roman"/>
          <w:lang w:eastAsia="en-AU"/>
        </w:rPr>
        <w:t>References</w:t>
      </w:r>
    </w:p>
    <w:p w14:paraId="0559AEB6" w14:textId="77777777" w:rsidR="00DA4804" w:rsidRPr="00B70D73" w:rsidRDefault="00DA4804" w:rsidP="00DA4804">
      <w:pPr>
        <w:autoSpaceDE w:val="0"/>
        <w:autoSpaceDN w:val="0"/>
        <w:adjustRightInd w:val="0"/>
        <w:ind w:left="720" w:hanging="720"/>
        <w:rPr>
          <w:rFonts w:eastAsia="Times New Roman" w:cs="Times New Roman"/>
          <w:szCs w:val="24"/>
          <w:lang w:eastAsia="en-AU"/>
        </w:rPr>
      </w:pPr>
      <w:r w:rsidRPr="00B70D73">
        <w:rPr>
          <w:rFonts w:eastAsia="Times New Roman" w:cs="Times New Roman"/>
          <w:szCs w:val="24"/>
          <w:lang w:eastAsia="en-AU"/>
        </w:rPr>
        <w:t xml:space="preserve">Cairns, J. and Vreugdenhil, A. (2014) 'Working at the frontline in cases of elder abuse: 'it keeps me awake at night'', </w:t>
      </w:r>
      <w:proofErr w:type="spellStart"/>
      <w:r w:rsidRPr="00B70D73">
        <w:rPr>
          <w:rFonts w:eastAsia="Times New Roman" w:cs="Times New Roman"/>
          <w:szCs w:val="24"/>
          <w:lang w:eastAsia="en-AU"/>
        </w:rPr>
        <w:t>Australas</w:t>
      </w:r>
      <w:proofErr w:type="spellEnd"/>
      <w:r w:rsidRPr="00B70D73">
        <w:rPr>
          <w:rFonts w:eastAsia="Times New Roman" w:cs="Times New Roman"/>
          <w:szCs w:val="24"/>
          <w:lang w:eastAsia="en-AU"/>
        </w:rPr>
        <w:t xml:space="preserve"> J Ageing, 33(1), pp. 59-62.</w:t>
      </w:r>
    </w:p>
    <w:p w14:paraId="5C902FAB" w14:textId="77777777" w:rsidR="00DA4804" w:rsidRPr="00B70D73" w:rsidRDefault="00DA4804" w:rsidP="00DA4804">
      <w:pPr>
        <w:autoSpaceDE w:val="0"/>
        <w:autoSpaceDN w:val="0"/>
        <w:adjustRightInd w:val="0"/>
        <w:ind w:left="720" w:hanging="720"/>
        <w:rPr>
          <w:rFonts w:eastAsia="Times New Roman" w:cs="Times New Roman"/>
          <w:szCs w:val="24"/>
          <w:lang w:eastAsia="en-AU"/>
        </w:rPr>
      </w:pPr>
      <w:r w:rsidRPr="00B70D73">
        <w:rPr>
          <w:rFonts w:eastAsia="Times New Roman" w:cs="Times New Roman"/>
          <w:szCs w:val="24"/>
          <w:lang w:eastAsia="en-AU"/>
        </w:rPr>
        <w:lastRenderedPageBreak/>
        <w:t>Cooper, C., Selwood, A. and Livingston, G. (2008) 'The prevalence of elder abuse and neglect: a systematic review', Age Ageing, 37(2), pp. 151-60.</w:t>
      </w:r>
    </w:p>
    <w:p w14:paraId="22818BC3" w14:textId="77777777" w:rsidR="00DA4804" w:rsidRPr="00B70D73" w:rsidRDefault="00DA4804" w:rsidP="00DA4804">
      <w:pPr>
        <w:autoSpaceDE w:val="0"/>
        <w:autoSpaceDN w:val="0"/>
        <w:adjustRightInd w:val="0"/>
        <w:ind w:left="720" w:hanging="720"/>
        <w:rPr>
          <w:rFonts w:eastAsia="Times New Roman" w:cs="Times New Roman"/>
          <w:szCs w:val="24"/>
          <w:lang w:eastAsia="en-AU"/>
        </w:rPr>
      </w:pPr>
      <w:proofErr w:type="spellStart"/>
      <w:r w:rsidRPr="00B70D73">
        <w:rPr>
          <w:rFonts w:eastAsia="Times New Roman" w:cs="Times New Roman"/>
          <w:szCs w:val="24"/>
          <w:lang w:eastAsia="en-AU"/>
        </w:rPr>
        <w:t>Kurrle</w:t>
      </w:r>
      <w:proofErr w:type="spellEnd"/>
      <w:r w:rsidRPr="00B70D73">
        <w:rPr>
          <w:rFonts w:eastAsia="Times New Roman" w:cs="Times New Roman"/>
          <w:szCs w:val="24"/>
          <w:lang w:eastAsia="en-AU"/>
        </w:rPr>
        <w:t>, S. (1995) 'Australian society for geriatric medicine position statement on elder abuse', Australian Journal on Ageing, 14(4), pp. 172-175.</w:t>
      </w:r>
    </w:p>
    <w:p w14:paraId="5EDB8D1B" w14:textId="77777777" w:rsidR="00DA4804" w:rsidRPr="00B70D73" w:rsidRDefault="00DA4804" w:rsidP="00DA4804">
      <w:pPr>
        <w:autoSpaceDE w:val="0"/>
        <w:autoSpaceDN w:val="0"/>
        <w:adjustRightInd w:val="0"/>
        <w:ind w:left="720" w:hanging="720"/>
        <w:rPr>
          <w:rFonts w:eastAsia="Times New Roman" w:cs="Times New Roman"/>
          <w:szCs w:val="24"/>
          <w:lang w:eastAsia="en-AU"/>
        </w:rPr>
      </w:pPr>
      <w:proofErr w:type="spellStart"/>
      <w:r w:rsidRPr="00B70D73">
        <w:rPr>
          <w:rFonts w:eastAsia="Times New Roman" w:cs="Times New Roman"/>
          <w:szCs w:val="24"/>
          <w:lang w:eastAsia="en-AU"/>
        </w:rPr>
        <w:t>Kurrle</w:t>
      </w:r>
      <w:proofErr w:type="spellEnd"/>
      <w:r w:rsidRPr="00B70D73">
        <w:rPr>
          <w:rFonts w:eastAsia="Times New Roman" w:cs="Times New Roman"/>
          <w:szCs w:val="24"/>
          <w:lang w:eastAsia="en-AU"/>
        </w:rPr>
        <w:t xml:space="preserve">, S. and </w:t>
      </w:r>
      <w:proofErr w:type="spellStart"/>
      <w:r w:rsidRPr="00B70D73">
        <w:rPr>
          <w:rFonts w:eastAsia="Times New Roman" w:cs="Times New Roman"/>
          <w:szCs w:val="24"/>
          <w:lang w:eastAsia="en-AU"/>
        </w:rPr>
        <w:t>Naughtin</w:t>
      </w:r>
      <w:proofErr w:type="spellEnd"/>
      <w:r w:rsidRPr="00B70D73">
        <w:rPr>
          <w:rFonts w:eastAsia="Times New Roman" w:cs="Times New Roman"/>
          <w:szCs w:val="24"/>
          <w:lang w:eastAsia="en-AU"/>
        </w:rPr>
        <w:t xml:space="preserve">, G. (2008) 'An overview of elder abuse and neglect in Australia', J Elder Abuse </w:t>
      </w:r>
      <w:proofErr w:type="spellStart"/>
      <w:r w:rsidRPr="00B70D73">
        <w:rPr>
          <w:rFonts w:eastAsia="Times New Roman" w:cs="Times New Roman"/>
          <w:szCs w:val="24"/>
          <w:lang w:eastAsia="en-AU"/>
        </w:rPr>
        <w:t>Negl</w:t>
      </w:r>
      <w:proofErr w:type="spellEnd"/>
      <w:r w:rsidRPr="00B70D73">
        <w:rPr>
          <w:rFonts w:eastAsia="Times New Roman" w:cs="Times New Roman"/>
          <w:szCs w:val="24"/>
          <w:lang w:eastAsia="en-AU"/>
        </w:rPr>
        <w:t>, 20(2), pp. 108-25.</w:t>
      </w:r>
    </w:p>
    <w:p w14:paraId="27C139C6" w14:textId="77777777" w:rsidR="00DA4804" w:rsidRPr="00B70D73" w:rsidRDefault="00DA4804" w:rsidP="00B70D73">
      <w:pPr>
        <w:autoSpaceDE w:val="0"/>
        <w:autoSpaceDN w:val="0"/>
        <w:adjustRightInd w:val="0"/>
        <w:ind w:left="720" w:hanging="720"/>
        <w:rPr>
          <w:rFonts w:eastAsia="Times New Roman" w:cs="Times New Roman"/>
          <w:szCs w:val="24"/>
          <w:lang w:eastAsia="en-AU"/>
        </w:rPr>
      </w:pPr>
      <w:r w:rsidRPr="00B70D73">
        <w:rPr>
          <w:rFonts w:eastAsia="Times New Roman" w:cs="Times New Roman"/>
          <w:szCs w:val="24"/>
          <w:lang w:eastAsia="en-AU"/>
        </w:rPr>
        <w:t xml:space="preserve">Livermore, P., Bunt, R. and </w:t>
      </w:r>
      <w:proofErr w:type="spellStart"/>
      <w:r w:rsidRPr="00B70D73">
        <w:rPr>
          <w:rFonts w:eastAsia="Times New Roman" w:cs="Times New Roman"/>
          <w:szCs w:val="24"/>
          <w:lang w:eastAsia="en-AU"/>
        </w:rPr>
        <w:t>Biscan</w:t>
      </w:r>
      <w:proofErr w:type="spellEnd"/>
      <w:r w:rsidRPr="00B70D73">
        <w:rPr>
          <w:rFonts w:eastAsia="Times New Roman" w:cs="Times New Roman"/>
          <w:szCs w:val="24"/>
          <w:lang w:eastAsia="en-AU"/>
        </w:rPr>
        <w:t>, K. (2001) 'Elder Abuse among Clients and Carers Referred to the Central Coast ACAT: a Descriptive Analysis', Australasian Journal on Ageing,</w:t>
      </w:r>
      <w:r w:rsidR="00B70D73">
        <w:rPr>
          <w:rFonts w:eastAsia="Times New Roman" w:cs="Times New Roman"/>
          <w:szCs w:val="24"/>
          <w:lang w:eastAsia="en-AU"/>
        </w:rPr>
        <w:t xml:space="preserve"> 20(1), pp. 41-47</w:t>
      </w:r>
    </w:p>
    <w:p w14:paraId="3AD22929" w14:textId="77777777" w:rsidR="00DA4804" w:rsidRPr="00B70D73" w:rsidRDefault="00DA4804" w:rsidP="00DA4804">
      <w:pPr>
        <w:autoSpaceDE w:val="0"/>
        <w:autoSpaceDN w:val="0"/>
        <w:adjustRightInd w:val="0"/>
        <w:ind w:left="720" w:hanging="720"/>
        <w:rPr>
          <w:rFonts w:eastAsia="Times New Roman" w:cs="Times New Roman"/>
          <w:szCs w:val="24"/>
          <w:lang w:eastAsia="en-AU"/>
        </w:rPr>
      </w:pPr>
      <w:r w:rsidRPr="00B70D73">
        <w:rPr>
          <w:rFonts w:eastAsia="Times New Roman" w:cs="Times New Roman"/>
          <w:szCs w:val="24"/>
          <w:lang w:eastAsia="en-AU"/>
        </w:rPr>
        <w:t>McCallum, J. (1993) 'Elder abuse: the ‘new’ social problem', Modern Medicine of Australia, (September), pp. 74-83.</w:t>
      </w:r>
    </w:p>
    <w:p w14:paraId="2B81E7A2" w14:textId="77777777" w:rsidR="00DA4804" w:rsidRPr="00B70D73" w:rsidRDefault="00DA4804" w:rsidP="00DA4804">
      <w:pPr>
        <w:autoSpaceDE w:val="0"/>
        <w:autoSpaceDN w:val="0"/>
        <w:adjustRightInd w:val="0"/>
        <w:ind w:left="720" w:hanging="720"/>
        <w:rPr>
          <w:rFonts w:eastAsia="Times New Roman" w:cs="Times New Roman"/>
          <w:szCs w:val="24"/>
          <w:lang w:eastAsia="en-AU"/>
        </w:rPr>
      </w:pPr>
      <w:r w:rsidRPr="00B70D73">
        <w:rPr>
          <w:rFonts w:eastAsia="Times New Roman" w:cs="Times New Roman"/>
          <w:szCs w:val="24"/>
          <w:lang w:eastAsia="en-AU"/>
        </w:rPr>
        <w:t xml:space="preserve">Sadler, P., </w:t>
      </w:r>
      <w:proofErr w:type="spellStart"/>
      <w:r w:rsidRPr="00B70D73">
        <w:rPr>
          <w:rFonts w:eastAsia="Times New Roman" w:cs="Times New Roman"/>
          <w:szCs w:val="24"/>
          <w:lang w:eastAsia="en-AU"/>
        </w:rPr>
        <w:t>Kurrle</w:t>
      </w:r>
      <w:proofErr w:type="spellEnd"/>
      <w:r w:rsidRPr="00B70D73">
        <w:rPr>
          <w:rFonts w:eastAsia="Times New Roman" w:cs="Times New Roman"/>
          <w:szCs w:val="24"/>
          <w:lang w:eastAsia="en-AU"/>
        </w:rPr>
        <w:t>, S. and Cameron, I. (1995) 'Dementia and Elder Abuse', Australian Journal on Ageing, 14(1), pp. 36-40.</w:t>
      </w:r>
    </w:p>
    <w:p w14:paraId="319FEE3F" w14:textId="77777777" w:rsidR="00DA4804" w:rsidRPr="00B70D73" w:rsidRDefault="00DA4804" w:rsidP="00DA4804">
      <w:pPr>
        <w:autoSpaceDE w:val="0"/>
        <w:autoSpaceDN w:val="0"/>
        <w:adjustRightInd w:val="0"/>
        <w:ind w:left="720" w:hanging="720"/>
        <w:rPr>
          <w:rFonts w:eastAsia="Times New Roman" w:cs="Times New Roman"/>
          <w:szCs w:val="24"/>
          <w:lang w:eastAsia="en-AU"/>
        </w:rPr>
      </w:pPr>
      <w:r w:rsidRPr="00B70D73">
        <w:rPr>
          <w:rFonts w:eastAsia="Times New Roman" w:cs="Times New Roman"/>
          <w:szCs w:val="24"/>
          <w:lang w:eastAsia="en-AU"/>
        </w:rPr>
        <w:t>Spike, C. (2015) 'The EAPU Helpline: Results of an investigation of five years of call data', International Association of Gerontology and Geriatrics Asia &amp; Oceania Regional Congress 2015.</w:t>
      </w:r>
    </w:p>
    <w:p w14:paraId="362B9E5F" w14:textId="6BBD0973" w:rsidR="002073F9" w:rsidRDefault="002073F9" w:rsidP="00B108C4">
      <w:pPr>
        <w:pStyle w:val="Heading1"/>
      </w:pPr>
      <w:r>
        <w:t>Q4.</w:t>
      </w:r>
      <w:r>
        <w:tab/>
        <w:t>T</w:t>
      </w:r>
      <w:r w:rsidR="00E55F08">
        <w:t>he state of law reform in this area, both in Tasmania and nationally</w:t>
      </w:r>
    </w:p>
    <w:p w14:paraId="42677130" w14:textId="77777777" w:rsidR="002073F9" w:rsidRDefault="002073F9" w:rsidP="007F3D03">
      <w:r>
        <w:t xml:space="preserve">A number of relevant law reform enquiries in this area are underway and/or have been completed. At the national level, in June 2017, the </w:t>
      </w:r>
      <w:r>
        <w:rPr>
          <w:b/>
        </w:rPr>
        <w:t>Australian Law Reform Commission</w:t>
      </w:r>
      <w:r>
        <w:t xml:space="preserve"> tabled its report, </w:t>
      </w:r>
      <w:r>
        <w:rPr>
          <w:i/>
        </w:rPr>
        <w:t>Elder Abuse—A National Legal Response</w:t>
      </w:r>
      <w:r>
        <w:t xml:space="preserve"> (ALRC Report 131). Of particular relevance in relation to the enquiry into the death of Mrs </w:t>
      </w:r>
      <w:proofErr w:type="spellStart"/>
      <w:r>
        <w:t>Mackozdi</w:t>
      </w:r>
      <w:proofErr w:type="spellEnd"/>
      <w:r>
        <w:t xml:space="preserve">, her care and the management of her finances prior to her death are the recommendations made in relation to enduring powers; family agreements; the </w:t>
      </w:r>
      <w:r>
        <w:rPr>
          <w:i/>
        </w:rPr>
        <w:t>Code of Banking Practice</w:t>
      </w:r>
      <w:r>
        <w:t>; guardianship and administration processes; the enactment of adult safeguarding mechanisms; and measures in relation to social security benefits.</w:t>
      </w:r>
    </w:p>
    <w:p w14:paraId="3A0DFFD4" w14:textId="77777777" w:rsidR="002073F9" w:rsidRDefault="002073F9" w:rsidP="002073F9">
      <w:pPr>
        <w:spacing w:line="276" w:lineRule="auto"/>
        <w:rPr>
          <w:rFonts w:cs="Times New Roman"/>
          <w:szCs w:val="24"/>
        </w:rPr>
      </w:pPr>
      <w:r>
        <w:rPr>
          <w:rFonts w:cs="Times New Roman"/>
          <w:szCs w:val="24"/>
        </w:rPr>
        <w:t>In summary, the principal recommendations made in the report are:</w:t>
      </w:r>
    </w:p>
    <w:p w14:paraId="461C4B25" w14:textId="77777777" w:rsidR="002073F9" w:rsidRDefault="002073F9" w:rsidP="002073F9">
      <w:pPr>
        <w:pStyle w:val="ListParagraph"/>
        <w:numPr>
          <w:ilvl w:val="0"/>
          <w:numId w:val="2"/>
        </w:numPr>
        <w:spacing w:line="276" w:lineRule="auto"/>
        <w:rPr>
          <w:rFonts w:cs="Times New Roman"/>
          <w:szCs w:val="24"/>
        </w:rPr>
      </w:pPr>
      <w:r>
        <w:rPr>
          <w:rFonts w:cs="Times New Roman"/>
          <w:szCs w:val="24"/>
        </w:rPr>
        <w:t>The development of a national plan to combat elder abuse;</w:t>
      </w:r>
    </w:p>
    <w:p w14:paraId="467BB032" w14:textId="77777777" w:rsidR="002073F9" w:rsidRDefault="002073F9" w:rsidP="002073F9">
      <w:pPr>
        <w:pStyle w:val="ListParagraph"/>
        <w:numPr>
          <w:ilvl w:val="0"/>
          <w:numId w:val="2"/>
        </w:numPr>
        <w:spacing w:line="276" w:lineRule="auto"/>
        <w:rPr>
          <w:rFonts w:cs="Times New Roman"/>
          <w:szCs w:val="24"/>
          <w:lang w:val="en-US"/>
        </w:rPr>
      </w:pPr>
      <w:r>
        <w:rPr>
          <w:rFonts w:cs="Times New Roman"/>
          <w:szCs w:val="24"/>
        </w:rPr>
        <w:t>The reform of a</w:t>
      </w:r>
      <w:proofErr w:type="spellStart"/>
      <w:r>
        <w:rPr>
          <w:rFonts w:cs="Times New Roman"/>
          <w:szCs w:val="24"/>
          <w:lang w:val="en-US"/>
        </w:rPr>
        <w:t>ged</w:t>
      </w:r>
      <w:proofErr w:type="spellEnd"/>
      <w:r>
        <w:rPr>
          <w:rFonts w:cs="Times New Roman"/>
          <w:szCs w:val="24"/>
          <w:lang w:val="en-US"/>
        </w:rPr>
        <w:t xml:space="preserve">-care legislation to provide for a new serious incident response scheme for aged care including replacement of the current responsibilities in relation to reportable assaults in s 63-1AA of the </w:t>
      </w:r>
      <w:r>
        <w:rPr>
          <w:rFonts w:cs="Times New Roman"/>
          <w:i/>
          <w:iCs/>
          <w:szCs w:val="24"/>
          <w:lang w:val="en-US"/>
        </w:rPr>
        <w:t xml:space="preserve">Aged Care Act 1997 </w:t>
      </w:r>
      <w:r>
        <w:rPr>
          <w:rFonts w:cs="Times New Roman"/>
          <w:szCs w:val="24"/>
          <w:lang w:val="en-US"/>
        </w:rPr>
        <w:t>(</w:t>
      </w:r>
      <w:proofErr w:type="spellStart"/>
      <w:r>
        <w:rPr>
          <w:rFonts w:cs="Times New Roman"/>
          <w:szCs w:val="24"/>
          <w:lang w:val="en-US"/>
        </w:rPr>
        <w:t>Cth</w:t>
      </w:r>
      <w:proofErr w:type="spellEnd"/>
      <w:r>
        <w:rPr>
          <w:rFonts w:cs="Times New Roman"/>
          <w:szCs w:val="24"/>
          <w:lang w:val="en-US"/>
        </w:rPr>
        <w:t>);</w:t>
      </w:r>
    </w:p>
    <w:p w14:paraId="12233B45" w14:textId="77777777" w:rsidR="002073F9" w:rsidRDefault="002073F9" w:rsidP="002073F9">
      <w:pPr>
        <w:pStyle w:val="ListParagraph"/>
        <w:numPr>
          <w:ilvl w:val="0"/>
          <w:numId w:val="2"/>
        </w:numPr>
        <w:rPr>
          <w:rFonts w:eastAsia="Times New Roman" w:cs="Times New Roman"/>
          <w:szCs w:val="24"/>
          <w:lang w:val="en-US"/>
        </w:rPr>
      </w:pPr>
      <w:r>
        <w:rPr>
          <w:rFonts w:cs="Times New Roman"/>
          <w:szCs w:val="24"/>
          <w:lang w:val="en-US"/>
        </w:rPr>
        <w:t xml:space="preserve">Improving </w:t>
      </w:r>
      <w:r>
        <w:rPr>
          <w:rFonts w:eastAsia="Times New Roman" w:cs="Times New Roman"/>
          <w:szCs w:val="24"/>
          <w:lang w:val="en-US"/>
        </w:rPr>
        <w:t>safeguards against the misuse of an enduring document in state and territory legislation;</w:t>
      </w:r>
    </w:p>
    <w:p w14:paraId="6CA57605" w14:textId="77777777" w:rsidR="002073F9" w:rsidRDefault="002073F9" w:rsidP="002073F9">
      <w:pPr>
        <w:pStyle w:val="ListParagraph"/>
        <w:numPr>
          <w:ilvl w:val="0"/>
          <w:numId w:val="2"/>
        </w:numPr>
        <w:spacing w:before="100" w:beforeAutospacing="1" w:after="100" w:afterAutospacing="1"/>
        <w:rPr>
          <w:rFonts w:cs="Times New Roman"/>
          <w:szCs w:val="24"/>
          <w:lang w:val="en-US"/>
        </w:rPr>
      </w:pPr>
      <w:r>
        <w:rPr>
          <w:rFonts w:cs="Times New Roman"/>
          <w:szCs w:val="24"/>
          <w:lang w:val="en-US"/>
        </w:rPr>
        <w:t xml:space="preserve">Institution of reforms in relation to family agreements, including granting state and territory tribunals jurisdiction to resolve family disputes involving residential property </w:t>
      </w:r>
      <w:r>
        <w:rPr>
          <w:rFonts w:cs="Times New Roman"/>
          <w:szCs w:val="24"/>
          <w:lang w:val="en-US"/>
        </w:rPr>
        <w:lastRenderedPageBreak/>
        <w:t xml:space="preserve">under an ‘assets for care’ arrangement and amending the </w:t>
      </w:r>
      <w:r>
        <w:rPr>
          <w:rFonts w:cs="Times New Roman"/>
          <w:i/>
          <w:iCs/>
          <w:szCs w:val="24"/>
          <w:lang w:val="en-US"/>
        </w:rPr>
        <w:t>Social Security Act 1991</w:t>
      </w:r>
      <w:r>
        <w:rPr>
          <w:rFonts w:cs="Times New Roman"/>
          <w:szCs w:val="24"/>
          <w:lang w:val="en-US"/>
        </w:rPr>
        <w:t xml:space="preserve"> (</w:t>
      </w:r>
      <w:proofErr w:type="spellStart"/>
      <w:r>
        <w:rPr>
          <w:rFonts w:cs="Times New Roman"/>
          <w:szCs w:val="24"/>
          <w:lang w:val="en-US"/>
        </w:rPr>
        <w:t>Cth</w:t>
      </w:r>
      <w:proofErr w:type="spellEnd"/>
      <w:r>
        <w:rPr>
          <w:rFonts w:cs="Times New Roman"/>
          <w:szCs w:val="24"/>
          <w:lang w:val="en-US"/>
        </w:rPr>
        <w:t>) to require that a ‘granny flat interest’ is expressed in writing for the purposes of calculating entitlement to the Age Pension;</w:t>
      </w:r>
    </w:p>
    <w:p w14:paraId="22AD8140" w14:textId="77777777" w:rsidR="002073F9" w:rsidRDefault="002073F9" w:rsidP="002073F9">
      <w:pPr>
        <w:pStyle w:val="ListParagraph"/>
        <w:numPr>
          <w:ilvl w:val="0"/>
          <w:numId w:val="2"/>
        </w:numPr>
        <w:rPr>
          <w:rFonts w:eastAsia="Times New Roman" w:cs="Times New Roman"/>
          <w:szCs w:val="24"/>
          <w:lang w:val="en-US"/>
        </w:rPr>
      </w:pPr>
      <w:r>
        <w:rPr>
          <w:rFonts w:eastAsia="Times New Roman" w:cs="Times New Roman"/>
          <w:szCs w:val="24"/>
          <w:lang w:val="en-US"/>
        </w:rPr>
        <w:t xml:space="preserve">Review of the structure and drafting of the provisions relating to death benefit nominations in ss 58 and 59 of the </w:t>
      </w:r>
      <w:r>
        <w:rPr>
          <w:rFonts w:eastAsia="Times New Roman" w:cs="Times New Roman"/>
          <w:i/>
          <w:iCs/>
          <w:szCs w:val="24"/>
          <w:lang w:val="en-US"/>
        </w:rPr>
        <w:t>Superannuation Industry (Supervision) Act 1993</w:t>
      </w:r>
      <w:r>
        <w:rPr>
          <w:rFonts w:eastAsia="Times New Roman" w:cs="Times New Roman"/>
          <w:szCs w:val="24"/>
          <w:lang w:val="en-US"/>
        </w:rPr>
        <w:t xml:space="preserve"> (</w:t>
      </w:r>
      <w:proofErr w:type="spellStart"/>
      <w:r>
        <w:rPr>
          <w:rFonts w:eastAsia="Times New Roman" w:cs="Times New Roman"/>
          <w:szCs w:val="24"/>
          <w:lang w:val="en-US"/>
        </w:rPr>
        <w:t>Cth</w:t>
      </w:r>
      <w:proofErr w:type="spellEnd"/>
      <w:r>
        <w:rPr>
          <w:rFonts w:eastAsia="Times New Roman" w:cs="Times New Roman"/>
          <w:szCs w:val="24"/>
          <w:lang w:val="en-US"/>
        </w:rPr>
        <w:t>) and reg 6.17A of the</w:t>
      </w:r>
      <w:r>
        <w:rPr>
          <w:rFonts w:eastAsia="Times New Roman" w:cs="Times New Roman"/>
          <w:i/>
          <w:iCs/>
          <w:szCs w:val="24"/>
          <w:lang w:val="en-US"/>
        </w:rPr>
        <w:t xml:space="preserve"> Superannuation Industry (Supervision) Regulations 1994 </w:t>
      </w:r>
      <w:r>
        <w:rPr>
          <w:rFonts w:eastAsia="Times New Roman" w:cs="Times New Roman"/>
          <w:szCs w:val="24"/>
          <w:lang w:val="en-US"/>
        </w:rPr>
        <w:t>(</w:t>
      </w:r>
      <w:proofErr w:type="spellStart"/>
      <w:r>
        <w:rPr>
          <w:rFonts w:eastAsia="Times New Roman" w:cs="Times New Roman"/>
          <w:szCs w:val="24"/>
          <w:lang w:val="en-US"/>
        </w:rPr>
        <w:t>Cth</w:t>
      </w:r>
      <w:proofErr w:type="spellEnd"/>
      <w:r>
        <w:rPr>
          <w:rFonts w:eastAsia="Times New Roman" w:cs="Times New Roman"/>
          <w:szCs w:val="24"/>
          <w:lang w:val="en-US"/>
        </w:rPr>
        <w:t>);</w:t>
      </w:r>
    </w:p>
    <w:p w14:paraId="75442939" w14:textId="77777777" w:rsidR="002073F9" w:rsidRDefault="002073F9" w:rsidP="002073F9">
      <w:pPr>
        <w:pStyle w:val="ListParagraph"/>
        <w:numPr>
          <w:ilvl w:val="0"/>
          <w:numId w:val="2"/>
        </w:numPr>
        <w:rPr>
          <w:rFonts w:eastAsia="Times New Roman" w:cs="Times New Roman"/>
          <w:szCs w:val="24"/>
          <w:lang w:val="en-US"/>
        </w:rPr>
      </w:pPr>
      <w:r>
        <w:rPr>
          <w:rFonts w:eastAsia="Times New Roman" w:cs="Times New Roman"/>
          <w:szCs w:val="24"/>
          <w:lang w:val="en-US"/>
        </w:rPr>
        <w:t>That the Law Council of Australia, together with state and territory law societies, develop national best practice guidelines for legal practitioners in relation to the preparation and execution of wills and other advance planning documents to ensure they provide thorough coverage of matters;</w:t>
      </w:r>
    </w:p>
    <w:p w14:paraId="52EE59A8" w14:textId="77777777" w:rsidR="002073F9" w:rsidRDefault="002073F9" w:rsidP="002073F9">
      <w:pPr>
        <w:pStyle w:val="ListParagraph"/>
        <w:numPr>
          <w:ilvl w:val="0"/>
          <w:numId w:val="2"/>
        </w:numPr>
        <w:rPr>
          <w:rFonts w:eastAsia="Times New Roman" w:cs="Times New Roman"/>
          <w:szCs w:val="24"/>
          <w:lang w:val="en-US"/>
        </w:rPr>
      </w:pPr>
      <w:r>
        <w:rPr>
          <w:rFonts w:eastAsia="Times New Roman" w:cs="Times New Roman"/>
          <w:szCs w:val="24"/>
          <w:lang w:val="en-US"/>
        </w:rPr>
        <w:t xml:space="preserve">That </w:t>
      </w:r>
      <w:r>
        <w:rPr>
          <w:rFonts w:cs="Times New Roman"/>
          <w:szCs w:val="24"/>
          <w:lang w:val="en-US"/>
        </w:rPr>
        <w:t xml:space="preserve">the </w:t>
      </w:r>
      <w:r>
        <w:rPr>
          <w:rFonts w:cs="Times New Roman"/>
          <w:i/>
          <w:iCs/>
          <w:szCs w:val="24"/>
          <w:lang w:val="en-US"/>
        </w:rPr>
        <w:t xml:space="preserve">Code of Banking Practice </w:t>
      </w:r>
      <w:r>
        <w:rPr>
          <w:rFonts w:cs="Times New Roman"/>
          <w:szCs w:val="24"/>
          <w:lang w:val="en-US"/>
        </w:rPr>
        <w:t xml:space="preserve">provide that banks will take reasonable steps to prevent the financial abuse of vulnerable customers, in accordance with the industry guideline, </w:t>
      </w:r>
      <w:r>
        <w:rPr>
          <w:rFonts w:cs="Times New Roman"/>
          <w:i/>
          <w:iCs/>
          <w:szCs w:val="24"/>
          <w:lang w:val="en-US"/>
        </w:rPr>
        <w:t xml:space="preserve">Protecting Vulnerable Customers from Potential Financial Abuse. </w:t>
      </w:r>
      <w:r>
        <w:rPr>
          <w:rFonts w:cs="Times New Roman"/>
          <w:szCs w:val="24"/>
          <w:lang w:val="en-US"/>
        </w:rPr>
        <w:t xml:space="preserve">The guideline should set out examples of such reasonable steps, including: </w:t>
      </w:r>
    </w:p>
    <w:p w14:paraId="1CF255E1" w14:textId="77777777" w:rsidR="002073F9" w:rsidRDefault="002073F9" w:rsidP="002073F9">
      <w:pPr>
        <w:pStyle w:val="ListParagraph"/>
        <w:numPr>
          <w:ilvl w:val="1"/>
          <w:numId w:val="2"/>
        </w:numPr>
        <w:rPr>
          <w:rFonts w:eastAsia="Times New Roman" w:cs="Times New Roman"/>
          <w:szCs w:val="24"/>
          <w:lang w:val="en-US"/>
        </w:rPr>
      </w:pPr>
      <w:r>
        <w:rPr>
          <w:rFonts w:cs="Times New Roman"/>
          <w:szCs w:val="24"/>
          <w:lang w:val="en-US"/>
        </w:rPr>
        <w:t xml:space="preserve">training staff to detect and appropriately respond to abuse; </w:t>
      </w:r>
    </w:p>
    <w:p w14:paraId="17D55608" w14:textId="77777777" w:rsidR="002073F9" w:rsidRDefault="002073F9" w:rsidP="002073F9">
      <w:pPr>
        <w:pStyle w:val="ListParagraph"/>
        <w:numPr>
          <w:ilvl w:val="1"/>
          <w:numId w:val="2"/>
        </w:numPr>
        <w:rPr>
          <w:rFonts w:eastAsia="Times New Roman" w:cs="Times New Roman"/>
          <w:szCs w:val="24"/>
          <w:lang w:val="en-US"/>
        </w:rPr>
      </w:pPr>
      <w:r>
        <w:rPr>
          <w:rFonts w:cs="Times New Roman"/>
          <w:szCs w:val="24"/>
          <w:lang w:val="en-US"/>
        </w:rPr>
        <w:t xml:space="preserve">using software and other means to identify suspicious transactions; </w:t>
      </w:r>
    </w:p>
    <w:p w14:paraId="6E523AB5" w14:textId="77777777" w:rsidR="002073F9" w:rsidRDefault="002073F9" w:rsidP="002073F9">
      <w:pPr>
        <w:pStyle w:val="ListParagraph"/>
        <w:numPr>
          <w:ilvl w:val="1"/>
          <w:numId w:val="2"/>
        </w:numPr>
        <w:rPr>
          <w:rFonts w:eastAsia="Times New Roman" w:cs="Times New Roman"/>
          <w:szCs w:val="24"/>
          <w:lang w:val="en-US"/>
        </w:rPr>
      </w:pPr>
      <w:r>
        <w:rPr>
          <w:rFonts w:cs="Times New Roman"/>
          <w:szCs w:val="24"/>
          <w:lang w:val="en-US"/>
        </w:rPr>
        <w:t xml:space="preserve">reporting abuse to the relevant authorities, when appropriate; </w:t>
      </w:r>
    </w:p>
    <w:p w14:paraId="63A32EBC" w14:textId="77777777" w:rsidR="002073F9" w:rsidRDefault="002073F9" w:rsidP="002073F9">
      <w:pPr>
        <w:pStyle w:val="ListParagraph"/>
        <w:numPr>
          <w:ilvl w:val="1"/>
          <w:numId w:val="2"/>
        </w:numPr>
        <w:rPr>
          <w:rFonts w:eastAsia="Times New Roman" w:cs="Times New Roman"/>
          <w:szCs w:val="24"/>
          <w:lang w:val="en-US"/>
        </w:rPr>
      </w:pPr>
      <w:r>
        <w:rPr>
          <w:rFonts w:cs="Times New Roman"/>
          <w:szCs w:val="24"/>
          <w:lang w:val="en-US"/>
        </w:rPr>
        <w:t xml:space="preserve">guaranteeing mortgages and other loans; and </w:t>
      </w:r>
    </w:p>
    <w:p w14:paraId="0644BB3E" w14:textId="77777777" w:rsidR="002073F9" w:rsidRDefault="002073F9" w:rsidP="002073F9">
      <w:pPr>
        <w:pStyle w:val="ListParagraph"/>
        <w:numPr>
          <w:ilvl w:val="1"/>
          <w:numId w:val="2"/>
        </w:numPr>
        <w:rPr>
          <w:rFonts w:eastAsia="Times New Roman" w:cs="Times New Roman"/>
          <w:szCs w:val="24"/>
          <w:lang w:val="en-US"/>
        </w:rPr>
      </w:pPr>
      <w:r>
        <w:rPr>
          <w:rFonts w:cs="Times New Roman"/>
          <w:szCs w:val="24"/>
          <w:lang w:val="en-US"/>
        </w:rPr>
        <w:t>measures to check that ‘Authority to Operate’ forms are not obtained fraudulently and that customers understand the risks of these arrangements;</w:t>
      </w:r>
    </w:p>
    <w:p w14:paraId="15CFDDF1" w14:textId="77777777" w:rsidR="002073F9" w:rsidRDefault="002073F9" w:rsidP="002073F9">
      <w:pPr>
        <w:pStyle w:val="ListParagraph"/>
        <w:numPr>
          <w:ilvl w:val="0"/>
          <w:numId w:val="2"/>
        </w:numPr>
        <w:spacing w:before="100" w:beforeAutospacing="1" w:after="100" w:afterAutospacing="1"/>
        <w:rPr>
          <w:rFonts w:cs="Times New Roman"/>
          <w:szCs w:val="24"/>
          <w:lang w:val="en-US"/>
        </w:rPr>
      </w:pPr>
      <w:r>
        <w:rPr>
          <w:rFonts w:cs="Times New Roman"/>
          <w:szCs w:val="24"/>
          <w:lang w:val="en-US"/>
        </w:rPr>
        <w:t>Institution of reforms to Guardianship and Administration processes, namely:</w:t>
      </w:r>
    </w:p>
    <w:p w14:paraId="628224AA" w14:textId="77777777" w:rsidR="002073F9" w:rsidRDefault="002073F9" w:rsidP="002073F9">
      <w:pPr>
        <w:pStyle w:val="ListParagraph"/>
        <w:numPr>
          <w:ilvl w:val="1"/>
          <w:numId w:val="2"/>
        </w:numPr>
        <w:spacing w:before="100" w:beforeAutospacing="1" w:after="100" w:afterAutospacing="1"/>
        <w:rPr>
          <w:rFonts w:cs="Times New Roman"/>
          <w:szCs w:val="24"/>
          <w:lang w:val="en-US"/>
        </w:rPr>
      </w:pPr>
      <w:r>
        <w:rPr>
          <w:rFonts w:cs="Times New Roman"/>
          <w:szCs w:val="24"/>
          <w:lang w:val="en-US"/>
        </w:rPr>
        <w:t xml:space="preserve">requiring newly-appointed private guardians and private financial administrators to sign an undertaking with respect to their responsibilities and obligations; </w:t>
      </w:r>
    </w:p>
    <w:p w14:paraId="35C57DDA" w14:textId="77777777" w:rsidR="002073F9" w:rsidRDefault="002073F9" w:rsidP="002073F9">
      <w:pPr>
        <w:pStyle w:val="ListParagraph"/>
        <w:numPr>
          <w:ilvl w:val="1"/>
          <w:numId w:val="2"/>
        </w:numPr>
        <w:spacing w:before="100" w:beforeAutospacing="1" w:after="100" w:afterAutospacing="1"/>
        <w:rPr>
          <w:rFonts w:cs="Times New Roman"/>
          <w:szCs w:val="24"/>
          <w:lang w:val="en-US"/>
        </w:rPr>
      </w:pPr>
      <w:r>
        <w:rPr>
          <w:rFonts w:cs="Times New Roman"/>
          <w:szCs w:val="24"/>
          <w:lang w:val="en-US"/>
        </w:rPr>
        <w:t>The development by the Australian Guardianship and Administration Council of best practice guidelines on how state and territory tribunals can support a person who is the subject of an application for guardianship or financial administration to participate in the determination process as far as possible;</w:t>
      </w:r>
    </w:p>
    <w:p w14:paraId="7479E3D7" w14:textId="77777777" w:rsidR="002073F9" w:rsidRDefault="002073F9" w:rsidP="002073F9">
      <w:pPr>
        <w:pStyle w:val="ListParagraph"/>
        <w:numPr>
          <w:ilvl w:val="0"/>
          <w:numId w:val="2"/>
        </w:numPr>
        <w:rPr>
          <w:rFonts w:eastAsia="Times New Roman" w:cs="Times New Roman"/>
          <w:szCs w:val="24"/>
          <w:lang w:val="en-US"/>
        </w:rPr>
      </w:pPr>
      <w:r>
        <w:rPr>
          <w:rFonts w:eastAsia="Times New Roman" w:cs="Times New Roman"/>
          <w:szCs w:val="24"/>
          <w:lang w:val="en-US"/>
        </w:rPr>
        <w:t>Institution of measures in relation to Social Security including:</w:t>
      </w:r>
    </w:p>
    <w:p w14:paraId="0326B289" w14:textId="77777777" w:rsidR="002073F9" w:rsidRDefault="002073F9" w:rsidP="002073F9">
      <w:pPr>
        <w:pStyle w:val="ListParagraph"/>
        <w:numPr>
          <w:ilvl w:val="1"/>
          <w:numId w:val="2"/>
        </w:numPr>
        <w:spacing w:before="100" w:beforeAutospacing="1" w:after="100" w:afterAutospacing="1"/>
        <w:rPr>
          <w:rFonts w:cs="Times New Roman"/>
          <w:szCs w:val="24"/>
          <w:lang w:val="en-US"/>
        </w:rPr>
      </w:pPr>
      <w:r>
        <w:rPr>
          <w:rFonts w:cs="Times New Roman"/>
          <w:szCs w:val="24"/>
          <w:lang w:val="en-US"/>
        </w:rPr>
        <w:t>That the Department of Human Services (</w:t>
      </w:r>
      <w:proofErr w:type="spellStart"/>
      <w:r>
        <w:rPr>
          <w:rFonts w:cs="Times New Roman"/>
          <w:szCs w:val="24"/>
          <w:lang w:val="en-US"/>
        </w:rPr>
        <w:t>Cth</w:t>
      </w:r>
      <w:proofErr w:type="spellEnd"/>
      <w:r>
        <w:rPr>
          <w:rFonts w:cs="Times New Roman"/>
          <w:szCs w:val="24"/>
          <w:lang w:val="en-US"/>
        </w:rPr>
        <w:t xml:space="preserve">) develop an elder abuse strategy; </w:t>
      </w:r>
    </w:p>
    <w:p w14:paraId="7E9BD5F5" w14:textId="77777777" w:rsidR="002073F9" w:rsidRDefault="002073F9" w:rsidP="002073F9">
      <w:pPr>
        <w:pStyle w:val="ListParagraph"/>
        <w:numPr>
          <w:ilvl w:val="1"/>
          <w:numId w:val="2"/>
        </w:numPr>
        <w:spacing w:before="100" w:beforeAutospacing="1" w:after="100" w:afterAutospacing="1"/>
        <w:rPr>
          <w:rFonts w:cs="Times New Roman"/>
          <w:szCs w:val="24"/>
          <w:lang w:val="en-US"/>
        </w:rPr>
      </w:pPr>
      <w:r>
        <w:rPr>
          <w:rFonts w:cs="Times New Roman"/>
          <w:szCs w:val="24"/>
          <w:lang w:val="en-US"/>
        </w:rPr>
        <w:t xml:space="preserve">That payments to nominees be held separately from the nominee’s own funds in a dedicated account nominated and maintained by the nominee; </w:t>
      </w:r>
    </w:p>
    <w:p w14:paraId="3B6C0DF2" w14:textId="77777777" w:rsidR="002073F9" w:rsidRDefault="002073F9" w:rsidP="002073F9">
      <w:pPr>
        <w:pStyle w:val="ListParagraph"/>
        <w:numPr>
          <w:ilvl w:val="1"/>
          <w:numId w:val="2"/>
        </w:numPr>
        <w:spacing w:before="100" w:beforeAutospacing="1" w:after="100" w:afterAutospacing="1"/>
        <w:rPr>
          <w:rFonts w:cs="Times New Roman"/>
          <w:szCs w:val="24"/>
          <w:lang w:val="en-US"/>
        </w:rPr>
      </w:pPr>
      <w:r>
        <w:rPr>
          <w:rFonts w:cs="Times New Roman"/>
          <w:szCs w:val="24"/>
          <w:lang w:val="en-US"/>
        </w:rPr>
        <w:t>That Centrelink staff speak directly with persons of Age Pension age who are entering into arrangements with others that concern social security payments;</w:t>
      </w:r>
    </w:p>
    <w:p w14:paraId="3B5FC3B9" w14:textId="77777777" w:rsidR="002073F9" w:rsidRDefault="002073F9" w:rsidP="002073F9">
      <w:pPr>
        <w:pStyle w:val="ListParagraph"/>
        <w:numPr>
          <w:ilvl w:val="0"/>
          <w:numId w:val="2"/>
        </w:numPr>
        <w:spacing w:before="100" w:beforeAutospacing="1" w:after="100" w:afterAutospacing="1"/>
        <w:rPr>
          <w:rFonts w:cs="Times New Roman"/>
          <w:szCs w:val="24"/>
          <w:lang w:val="en-US"/>
        </w:rPr>
      </w:pPr>
      <w:r>
        <w:rPr>
          <w:rFonts w:cs="Times New Roman"/>
          <w:szCs w:val="24"/>
          <w:lang w:val="en-US"/>
        </w:rPr>
        <w:t>The development of safeguards in relation to adults at risk including:</w:t>
      </w:r>
    </w:p>
    <w:p w14:paraId="63E45CA2" w14:textId="77777777" w:rsidR="002073F9" w:rsidRDefault="002073F9" w:rsidP="002073F9">
      <w:pPr>
        <w:pStyle w:val="ListParagraph"/>
        <w:numPr>
          <w:ilvl w:val="1"/>
          <w:numId w:val="2"/>
        </w:numPr>
        <w:spacing w:before="100" w:beforeAutospacing="1" w:after="100" w:afterAutospacing="1"/>
        <w:rPr>
          <w:rFonts w:cs="Times New Roman"/>
          <w:szCs w:val="24"/>
          <w:lang w:val="en-US"/>
        </w:rPr>
      </w:pPr>
      <w:r>
        <w:rPr>
          <w:rFonts w:cs="Times New Roman"/>
          <w:szCs w:val="24"/>
          <w:lang w:val="en-US"/>
        </w:rPr>
        <w:t>Enactment of adult safeguarding laws in each state and territory. These laws should give adult safeguarding agencies the role of safeguarding and supporting ‘at-risk adults’;</w:t>
      </w:r>
    </w:p>
    <w:p w14:paraId="4AC2972E" w14:textId="77777777" w:rsidR="002073F9" w:rsidRDefault="002073F9" w:rsidP="002073F9">
      <w:pPr>
        <w:pStyle w:val="ListParagraph"/>
        <w:numPr>
          <w:ilvl w:val="1"/>
          <w:numId w:val="2"/>
        </w:numPr>
        <w:spacing w:before="100" w:beforeAutospacing="1" w:after="100" w:afterAutospacing="1"/>
        <w:rPr>
          <w:rFonts w:cs="Times New Roman"/>
          <w:szCs w:val="24"/>
          <w:lang w:val="en-US"/>
        </w:rPr>
      </w:pPr>
      <w:r>
        <w:rPr>
          <w:rFonts w:cs="Times New Roman"/>
          <w:szCs w:val="24"/>
          <w:lang w:val="en-US"/>
        </w:rPr>
        <w:t>Giving adult safeguarding agencies a statutory duty to make inquiries where they have reasonable grounds to suspect that a person is an ‘at-risk adult’. The first step of an inquiry should be to contact the at-risk adult;</w:t>
      </w:r>
    </w:p>
    <w:p w14:paraId="262EA1DE" w14:textId="77777777" w:rsidR="002073F9" w:rsidRDefault="002073F9" w:rsidP="002073F9">
      <w:pPr>
        <w:pStyle w:val="ListParagraph"/>
        <w:numPr>
          <w:ilvl w:val="1"/>
          <w:numId w:val="2"/>
        </w:numPr>
        <w:spacing w:before="100" w:beforeAutospacing="1" w:after="100" w:afterAutospacing="1"/>
        <w:rPr>
          <w:rFonts w:cs="Times New Roman"/>
          <w:szCs w:val="24"/>
          <w:lang w:val="en-US"/>
        </w:rPr>
      </w:pPr>
      <w:r>
        <w:rPr>
          <w:rFonts w:cs="Times New Roman"/>
          <w:szCs w:val="24"/>
          <w:lang w:val="en-US"/>
        </w:rPr>
        <w:lastRenderedPageBreak/>
        <w:t>Defining ‘at-risk adults’ in safeguarding laws to mean people aged 18 years and over who:</w:t>
      </w:r>
    </w:p>
    <w:p w14:paraId="6604998A" w14:textId="77777777" w:rsidR="002073F9" w:rsidRDefault="002073F9" w:rsidP="002073F9">
      <w:pPr>
        <w:pStyle w:val="ListParagraph"/>
        <w:spacing w:before="100" w:beforeAutospacing="1" w:after="100" w:afterAutospacing="1"/>
        <w:ind w:left="2160"/>
        <w:rPr>
          <w:rFonts w:cs="Times New Roman"/>
          <w:szCs w:val="24"/>
          <w:lang w:val="en-US"/>
        </w:rPr>
      </w:pPr>
      <w:r>
        <w:rPr>
          <w:rFonts w:cs="Times New Roman"/>
          <w:szCs w:val="24"/>
          <w:lang w:val="en-US"/>
        </w:rPr>
        <w:t>(a)     have care and support needs;</w:t>
      </w:r>
    </w:p>
    <w:p w14:paraId="59831F71" w14:textId="77777777" w:rsidR="002073F9" w:rsidRDefault="002073F9" w:rsidP="002073F9">
      <w:pPr>
        <w:pStyle w:val="ListParagraph"/>
        <w:spacing w:before="100" w:beforeAutospacing="1" w:after="100" w:afterAutospacing="1"/>
        <w:ind w:left="2160"/>
        <w:rPr>
          <w:rFonts w:cs="Times New Roman"/>
          <w:szCs w:val="24"/>
          <w:lang w:val="en-US"/>
        </w:rPr>
      </w:pPr>
      <w:r>
        <w:rPr>
          <w:rFonts w:cs="Times New Roman"/>
          <w:szCs w:val="24"/>
          <w:lang w:val="en-US"/>
        </w:rPr>
        <w:t>(b)     are being abused or neglected, or are at risk of abuse or neglect; and</w:t>
      </w:r>
    </w:p>
    <w:p w14:paraId="165A29DD" w14:textId="77777777" w:rsidR="002073F9" w:rsidRDefault="002073F9" w:rsidP="002073F9">
      <w:pPr>
        <w:pStyle w:val="ListParagraph"/>
        <w:spacing w:before="100" w:beforeAutospacing="1" w:after="100" w:afterAutospacing="1"/>
        <w:ind w:left="2160"/>
        <w:rPr>
          <w:rFonts w:cs="Times New Roman"/>
          <w:szCs w:val="24"/>
          <w:lang w:val="en-US"/>
        </w:rPr>
      </w:pPr>
      <w:r>
        <w:rPr>
          <w:rFonts w:cs="Times New Roman"/>
          <w:szCs w:val="24"/>
          <w:lang w:val="en-US"/>
        </w:rPr>
        <w:t>(c)     are unable to protect themselves from abuse or neglect because of their care and support needs;</w:t>
      </w:r>
    </w:p>
    <w:p w14:paraId="1C04C7C6" w14:textId="1ABEED3D" w:rsidR="002073F9" w:rsidRDefault="002073F9" w:rsidP="002073F9">
      <w:pPr>
        <w:pStyle w:val="ListParagraph"/>
        <w:numPr>
          <w:ilvl w:val="0"/>
          <w:numId w:val="3"/>
        </w:numPr>
        <w:spacing w:before="100" w:beforeAutospacing="1" w:after="100" w:afterAutospacing="1"/>
        <w:rPr>
          <w:rFonts w:cs="Times New Roman"/>
          <w:szCs w:val="24"/>
          <w:lang w:val="en-US"/>
        </w:rPr>
      </w:pPr>
      <w:r>
        <w:rPr>
          <w:rFonts w:cs="Times New Roman"/>
          <w:szCs w:val="24"/>
          <w:lang w:val="en-US"/>
        </w:rPr>
        <w:t>The stip</w:t>
      </w:r>
      <w:r w:rsidR="00C11853">
        <w:rPr>
          <w:rFonts w:cs="Times New Roman"/>
          <w:szCs w:val="24"/>
          <w:lang w:val="en-US"/>
        </w:rPr>
        <w:t>u</w:t>
      </w:r>
      <w:r>
        <w:rPr>
          <w:rFonts w:cs="Times New Roman"/>
          <w:szCs w:val="24"/>
          <w:lang w:val="en-US"/>
        </w:rPr>
        <w:t>lation in adult safeguarding laws that the consent of an at-risk adult must be secured before safeguarding agencies investigate, or take any other action, in relation to the abuse or neglect of the adult. However, consent should not be required:</w:t>
      </w:r>
    </w:p>
    <w:p w14:paraId="7E70AB27" w14:textId="77777777" w:rsidR="002073F9" w:rsidRDefault="002073F9" w:rsidP="002073F9">
      <w:pPr>
        <w:pStyle w:val="ListParagraph"/>
        <w:spacing w:before="100" w:beforeAutospacing="1" w:after="100" w:afterAutospacing="1"/>
        <w:ind w:left="2160"/>
        <w:rPr>
          <w:rFonts w:cs="Times New Roman"/>
          <w:szCs w:val="24"/>
          <w:lang w:val="en-US"/>
        </w:rPr>
      </w:pPr>
      <w:r>
        <w:rPr>
          <w:rFonts w:cs="Times New Roman"/>
          <w:szCs w:val="24"/>
          <w:lang w:val="en-US"/>
        </w:rPr>
        <w:t>(a)     in serious cases of physical abuse, sexual abuse, or neglect; or</w:t>
      </w:r>
    </w:p>
    <w:p w14:paraId="4362E829" w14:textId="77777777" w:rsidR="002073F9" w:rsidRDefault="002073F9" w:rsidP="002073F9">
      <w:pPr>
        <w:pStyle w:val="ListParagraph"/>
        <w:spacing w:before="100" w:beforeAutospacing="1" w:after="100" w:afterAutospacing="1"/>
        <w:ind w:left="2160"/>
        <w:rPr>
          <w:rFonts w:cs="Times New Roman"/>
          <w:szCs w:val="24"/>
          <w:lang w:val="en-US"/>
        </w:rPr>
      </w:pPr>
      <w:r>
        <w:rPr>
          <w:rFonts w:cs="Times New Roman"/>
          <w:szCs w:val="24"/>
          <w:lang w:val="en-US"/>
        </w:rPr>
        <w:t>(b)     if the safeguarding agency cannot contact the adult, despite extensive efforts to do so; or</w:t>
      </w:r>
    </w:p>
    <w:p w14:paraId="44714370" w14:textId="77777777" w:rsidR="002073F9" w:rsidRDefault="002073F9" w:rsidP="002073F9">
      <w:pPr>
        <w:pStyle w:val="ListParagraph"/>
        <w:spacing w:before="100" w:beforeAutospacing="1" w:after="100" w:afterAutospacing="1"/>
        <w:ind w:left="2160"/>
        <w:rPr>
          <w:rFonts w:cs="Times New Roman"/>
          <w:szCs w:val="24"/>
          <w:lang w:val="en-US"/>
        </w:rPr>
      </w:pPr>
      <w:r>
        <w:rPr>
          <w:rFonts w:cs="Times New Roman"/>
          <w:szCs w:val="24"/>
          <w:lang w:val="en-US"/>
        </w:rPr>
        <w:t>(c)     if the adult lacks the legal capacity to give consent, in the circumstances;</w:t>
      </w:r>
    </w:p>
    <w:p w14:paraId="4834F1A9" w14:textId="77777777" w:rsidR="002073F9" w:rsidRDefault="002073F9" w:rsidP="002073F9">
      <w:pPr>
        <w:pStyle w:val="ListParagraph"/>
        <w:numPr>
          <w:ilvl w:val="0"/>
          <w:numId w:val="3"/>
        </w:numPr>
        <w:spacing w:before="100" w:beforeAutospacing="1" w:after="100" w:afterAutospacing="1"/>
        <w:rPr>
          <w:rFonts w:cs="Times New Roman"/>
          <w:szCs w:val="24"/>
          <w:lang w:val="en-US"/>
        </w:rPr>
      </w:pPr>
      <w:r>
        <w:rPr>
          <w:rFonts w:cs="Times New Roman"/>
          <w:szCs w:val="24"/>
          <w:lang w:val="en-US"/>
        </w:rPr>
        <w:t>The provision in adult safeguarding laws that, where a safeguarding agency has reasonable grounds to conclude that a person is an at-risk adult, the agency may take the following actions, with the adult’s consent:</w:t>
      </w:r>
    </w:p>
    <w:p w14:paraId="3227AF4C" w14:textId="77777777" w:rsidR="002073F9" w:rsidRDefault="002073F9" w:rsidP="002073F9">
      <w:pPr>
        <w:pStyle w:val="ListParagraph"/>
        <w:spacing w:before="100" w:beforeAutospacing="1" w:after="100" w:afterAutospacing="1"/>
        <w:ind w:left="2160"/>
        <w:rPr>
          <w:rFonts w:cs="Times New Roman"/>
          <w:szCs w:val="24"/>
          <w:lang w:val="en-US"/>
        </w:rPr>
      </w:pPr>
      <w:r>
        <w:rPr>
          <w:rFonts w:cs="Times New Roman"/>
          <w:szCs w:val="24"/>
          <w:lang w:val="en-US"/>
        </w:rPr>
        <w:t>(a)     coordinate legal, medical and other services for the adult;</w:t>
      </w:r>
    </w:p>
    <w:p w14:paraId="377CB45A" w14:textId="77777777" w:rsidR="002073F9" w:rsidRDefault="002073F9" w:rsidP="002073F9">
      <w:pPr>
        <w:pStyle w:val="ListParagraph"/>
        <w:spacing w:before="100" w:beforeAutospacing="1" w:after="100" w:afterAutospacing="1"/>
        <w:ind w:left="2160"/>
        <w:rPr>
          <w:rFonts w:cs="Times New Roman"/>
          <w:szCs w:val="24"/>
          <w:lang w:val="en-US"/>
        </w:rPr>
      </w:pPr>
      <w:r>
        <w:rPr>
          <w:rFonts w:cs="Times New Roman"/>
          <w:szCs w:val="24"/>
          <w:lang w:val="en-US"/>
        </w:rPr>
        <w:t>(b)     meet with relevant government agencies and other bodies and professionals to prepare a plan to stop the abuse and support the adult;</w:t>
      </w:r>
    </w:p>
    <w:p w14:paraId="461FADF2" w14:textId="77777777" w:rsidR="002073F9" w:rsidRDefault="002073F9" w:rsidP="002073F9">
      <w:pPr>
        <w:pStyle w:val="ListParagraph"/>
        <w:spacing w:before="100" w:beforeAutospacing="1" w:after="100" w:afterAutospacing="1"/>
        <w:ind w:left="2160"/>
        <w:rPr>
          <w:rFonts w:cs="Times New Roman"/>
          <w:szCs w:val="24"/>
          <w:lang w:val="en-US"/>
        </w:rPr>
      </w:pPr>
      <w:r>
        <w:rPr>
          <w:rFonts w:cs="Times New Roman"/>
          <w:szCs w:val="24"/>
          <w:lang w:val="en-US"/>
        </w:rPr>
        <w:t>(c)     report the abuse to the police;</w:t>
      </w:r>
    </w:p>
    <w:p w14:paraId="4861012B" w14:textId="77777777" w:rsidR="002073F9" w:rsidRDefault="002073F9" w:rsidP="002073F9">
      <w:pPr>
        <w:pStyle w:val="ListParagraph"/>
        <w:spacing w:before="100" w:beforeAutospacing="1" w:after="100" w:afterAutospacing="1"/>
        <w:ind w:left="2160"/>
        <w:rPr>
          <w:rFonts w:cs="Times New Roman"/>
          <w:szCs w:val="24"/>
          <w:lang w:val="en-US"/>
        </w:rPr>
      </w:pPr>
      <w:r>
        <w:rPr>
          <w:rFonts w:cs="Times New Roman"/>
          <w:szCs w:val="24"/>
          <w:lang w:val="en-US"/>
        </w:rPr>
        <w:t>(d)     apply for a court order in relation to the person thought to be committing the abuse (for example, a violence intervention order); or</w:t>
      </w:r>
    </w:p>
    <w:p w14:paraId="4C76A9CF" w14:textId="77777777" w:rsidR="002073F9" w:rsidRDefault="002073F9" w:rsidP="002073F9">
      <w:pPr>
        <w:pStyle w:val="ListParagraph"/>
        <w:spacing w:before="100" w:beforeAutospacing="1" w:after="100" w:afterAutospacing="1"/>
        <w:ind w:left="2160"/>
        <w:rPr>
          <w:rFonts w:cs="Times New Roman"/>
          <w:szCs w:val="24"/>
          <w:lang w:val="en-US"/>
        </w:rPr>
      </w:pPr>
      <w:r>
        <w:rPr>
          <w:rFonts w:cs="Times New Roman"/>
          <w:szCs w:val="24"/>
          <w:lang w:val="en-US"/>
        </w:rPr>
        <w:t>(e)     decide to take no further action;</w:t>
      </w:r>
    </w:p>
    <w:p w14:paraId="7F5D4635" w14:textId="77777777" w:rsidR="002073F9" w:rsidRDefault="002073F9" w:rsidP="002073F9">
      <w:pPr>
        <w:pStyle w:val="ListParagraph"/>
        <w:numPr>
          <w:ilvl w:val="0"/>
          <w:numId w:val="3"/>
        </w:numPr>
        <w:spacing w:before="100" w:beforeAutospacing="1" w:after="100" w:afterAutospacing="1"/>
        <w:rPr>
          <w:rFonts w:cs="Times New Roman"/>
          <w:szCs w:val="24"/>
          <w:lang w:val="en-US"/>
        </w:rPr>
      </w:pPr>
      <w:r>
        <w:rPr>
          <w:rFonts w:cs="Times New Roman"/>
          <w:szCs w:val="24"/>
          <w:lang w:val="en-US"/>
        </w:rPr>
        <w:t>The provision in adult safeguarding laws for adult safeguarding agencies to have necessary coercive information-gathering powers, such as the power to require a person to answer questions and produce documents. Agencies should only be able to exercise such powers where they have reasonable grounds to suspect that there is ‘serious abuse’ of an at-risk adult, and only to the extent that it is necessary to safeguard and support the at-risk adult;</w:t>
      </w:r>
    </w:p>
    <w:p w14:paraId="385B618E" w14:textId="77777777" w:rsidR="002073F9" w:rsidRDefault="002073F9" w:rsidP="002073F9">
      <w:pPr>
        <w:pStyle w:val="ListParagraph"/>
        <w:numPr>
          <w:ilvl w:val="0"/>
          <w:numId w:val="3"/>
        </w:numPr>
        <w:spacing w:before="100" w:beforeAutospacing="1" w:after="100" w:afterAutospacing="1"/>
        <w:rPr>
          <w:rFonts w:cs="Times New Roman"/>
          <w:szCs w:val="24"/>
          <w:lang w:val="en-US"/>
        </w:rPr>
      </w:pPr>
      <w:r>
        <w:rPr>
          <w:rFonts w:cs="Times New Roman"/>
          <w:szCs w:val="24"/>
          <w:lang w:val="en-US"/>
        </w:rPr>
        <w:t>The provision in adult safeguarding laws that any person who, in good faith, reports abuse to an adult safeguarding agency should not, as a consequence of their report, be:</w:t>
      </w:r>
    </w:p>
    <w:p w14:paraId="24BA59A2" w14:textId="77777777" w:rsidR="002073F9" w:rsidRDefault="002073F9" w:rsidP="002073F9">
      <w:pPr>
        <w:pStyle w:val="ListParagraph"/>
        <w:spacing w:before="100" w:beforeAutospacing="1" w:after="100" w:afterAutospacing="1"/>
        <w:ind w:left="2160"/>
        <w:rPr>
          <w:rFonts w:cs="Times New Roman"/>
          <w:szCs w:val="24"/>
          <w:lang w:val="en-US"/>
        </w:rPr>
      </w:pPr>
      <w:r>
        <w:rPr>
          <w:rFonts w:cs="Times New Roman"/>
          <w:szCs w:val="24"/>
          <w:lang w:val="en-US"/>
        </w:rPr>
        <w:t>(a)     liable civilly, criminally or under an administrative process;</w:t>
      </w:r>
    </w:p>
    <w:p w14:paraId="1C0D558D" w14:textId="77777777" w:rsidR="002073F9" w:rsidRDefault="002073F9" w:rsidP="002073F9">
      <w:pPr>
        <w:pStyle w:val="ListParagraph"/>
        <w:spacing w:before="100" w:beforeAutospacing="1" w:after="100" w:afterAutospacing="1"/>
        <w:ind w:left="2160"/>
        <w:rPr>
          <w:rFonts w:cs="Times New Roman"/>
          <w:szCs w:val="24"/>
          <w:lang w:val="en-US"/>
        </w:rPr>
      </w:pPr>
      <w:r>
        <w:rPr>
          <w:rFonts w:cs="Times New Roman"/>
          <w:szCs w:val="24"/>
          <w:lang w:val="en-US"/>
        </w:rPr>
        <w:t>(b)     found to have departed from standards of professional conduct;</w:t>
      </w:r>
    </w:p>
    <w:p w14:paraId="4697B074" w14:textId="77777777" w:rsidR="002073F9" w:rsidRDefault="002073F9" w:rsidP="002073F9">
      <w:pPr>
        <w:pStyle w:val="ListParagraph"/>
        <w:spacing w:before="100" w:beforeAutospacing="1" w:after="100" w:afterAutospacing="1"/>
        <w:ind w:left="2160"/>
        <w:rPr>
          <w:rFonts w:cs="Times New Roman"/>
          <w:szCs w:val="24"/>
          <w:lang w:val="en-US"/>
        </w:rPr>
      </w:pPr>
      <w:r>
        <w:rPr>
          <w:rFonts w:cs="Times New Roman"/>
          <w:szCs w:val="24"/>
          <w:lang w:val="en-US"/>
        </w:rPr>
        <w:t>(c)     dismissed or threatened in the course of their employment; or</w:t>
      </w:r>
    </w:p>
    <w:p w14:paraId="44592EC1" w14:textId="77777777" w:rsidR="002073F9" w:rsidRDefault="002073F9" w:rsidP="002073F9">
      <w:pPr>
        <w:pStyle w:val="ListParagraph"/>
        <w:spacing w:before="100" w:beforeAutospacing="1" w:after="100" w:afterAutospacing="1"/>
        <w:ind w:left="2160"/>
        <w:rPr>
          <w:rFonts w:cs="Times New Roman"/>
          <w:szCs w:val="24"/>
          <w:lang w:val="en-US"/>
        </w:rPr>
      </w:pPr>
      <w:r>
        <w:rPr>
          <w:rFonts w:cs="Times New Roman"/>
          <w:szCs w:val="24"/>
          <w:lang w:val="en-US"/>
        </w:rPr>
        <w:t>(d)     discriminated against with respect to employment or membership in a profession or trade union;</w:t>
      </w:r>
    </w:p>
    <w:p w14:paraId="2C636912" w14:textId="77777777" w:rsidR="002073F9" w:rsidRDefault="002073F9" w:rsidP="002073F9">
      <w:pPr>
        <w:pStyle w:val="ListParagraph"/>
        <w:numPr>
          <w:ilvl w:val="0"/>
          <w:numId w:val="4"/>
        </w:numPr>
        <w:spacing w:before="100" w:beforeAutospacing="1" w:after="100" w:afterAutospacing="1"/>
        <w:rPr>
          <w:rFonts w:cs="Times New Roman"/>
          <w:szCs w:val="24"/>
          <w:lang w:val="en-US"/>
        </w:rPr>
      </w:pPr>
      <w:r>
        <w:rPr>
          <w:rFonts w:cs="Times New Roman"/>
          <w:szCs w:val="24"/>
          <w:lang w:val="en-US"/>
        </w:rPr>
        <w:lastRenderedPageBreak/>
        <w:t>Specification that adult safeguarding agencies should work with relevant professional bodies to develop protocols for when prescribed professionals, such as medical practitioners, should refer the abuse of at-risk adults to adult safeguarding agencies.</w:t>
      </w:r>
    </w:p>
    <w:p w14:paraId="542FC701" w14:textId="77777777" w:rsidR="002073F9" w:rsidRDefault="002073F9" w:rsidP="002073F9">
      <w:pPr>
        <w:jc w:val="both"/>
        <w:rPr>
          <w:rFonts w:eastAsia="Times New Roman" w:cs="Times New Roman"/>
          <w:szCs w:val="24"/>
          <w:lang w:val="en-US"/>
        </w:rPr>
      </w:pPr>
      <w:r>
        <w:rPr>
          <w:rFonts w:eastAsia="Times New Roman" w:cs="Times New Roman"/>
          <w:szCs w:val="24"/>
          <w:lang w:eastAsia="en-AU"/>
        </w:rPr>
        <w:t xml:space="preserve">In February 2016, </w:t>
      </w:r>
      <w:r>
        <w:rPr>
          <w:rFonts w:eastAsia="Times New Roman" w:cs="Times New Roman"/>
          <w:b/>
          <w:szCs w:val="24"/>
          <w:lang w:eastAsia="en-AU"/>
        </w:rPr>
        <w:t>The Australian Institute of Family Studies</w:t>
      </w:r>
      <w:r>
        <w:rPr>
          <w:rFonts w:eastAsia="Times New Roman" w:cs="Times New Roman"/>
          <w:szCs w:val="24"/>
          <w:lang w:eastAsia="en-AU"/>
        </w:rPr>
        <w:t xml:space="preserve"> released its report on Elder Abuse.</w:t>
      </w:r>
      <w:r>
        <w:rPr>
          <w:rStyle w:val="FootnoteReference"/>
          <w:rFonts w:eastAsia="Times New Roman" w:cs="Times New Roman"/>
          <w:szCs w:val="24"/>
          <w:lang w:eastAsia="en-AU"/>
        </w:rPr>
        <w:footnoteReference w:id="24"/>
      </w:r>
      <w:r>
        <w:rPr>
          <w:rFonts w:eastAsia="Times New Roman" w:cs="Times New Roman"/>
          <w:szCs w:val="24"/>
          <w:lang w:eastAsia="en-AU"/>
        </w:rPr>
        <w:t xml:space="preserve"> As stated on its website, (</w:t>
      </w:r>
      <w:hyperlink r:id="rId11" w:history="1">
        <w:r>
          <w:rPr>
            <w:rStyle w:val="Hyperlink"/>
            <w:rFonts w:eastAsia="Times New Roman" w:cs="Times New Roman"/>
            <w:szCs w:val="24"/>
            <w:lang w:eastAsia="en-AU"/>
          </w:rPr>
          <w:t>https://aifs.gov.au/publications/elder-abuse)</w:t>
        </w:r>
      </w:hyperlink>
      <w:r>
        <w:rPr>
          <w:rFonts w:eastAsia="Times New Roman" w:cs="Times New Roman"/>
          <w:szCs w:val="24"/>
          <w:lang w:eastAsia="en-AU"/>
        </w:rPr>
        <w:t xml:space="preserve"> this Report “</w:t>
      </w:r>
      <w:r>
        <w:rPr>
          <w:rFonts w:eastAsia="Times New Roman" w:cs="Times New Roman"/>
          <w:szCs w:val="24"/>
          <w:lang w:val="en-US"/>
        </w:rPr>
        <w:t>provides an overview of elder abuse in Australia - including its characteristics, context, and prevention. First, it considers definitional issues and what is known about prevalence and incidence, risk and protective factors, and the dynamics surrounding disclosure and reporting. The report details the evidence on the demographic and socio-economic features of the Australian community that are relevant to understanding social dynamics that may influence elder abuse, including intergenerational wealth transfer and the systemic structures that intersect with elder abuse. Lastly, the report considers legislative and service responses and Australian and overseas approaches to prevention.” Key messages include:</w:t>
      </w:r>
    </w:p>
    <w:p w14:paraId="47F25458" w14:textId="77777777" w:rsidR="002073F9" w:rsidRDefault="002073F9" w:rsidP="002073F9">
      <w:pPr>
        <w:pStyle w:val="NormalWeb"/>
        <w:numPr>
          <w:ilvl w:val="0"/>
          <w:numId w:val="5"/>
        </w:numPr>
        <w:rPr>
          <w:rFonts w:eastAsiaTheme="minorHAnsi"/>
          <w:b/>
          <w:lang w:val="en-AU"/>
        </w:rPr>
      </w:pPr>
      <w:r>
        <w:t xml:space="preserve">“Although evidence about the prevalence of elder abuse in Australia is lacking it is likely that between </w:t>
      </w:r>
      <w:r>
        <w:rPr>
          <w:b/>
        </w:rPr>
        <w:t>2% and 10% of older Australians experience elder abuse in any given year, and the prevalence of neglect is possibly higher.</w:t>
      </w:r>
    </w:p>
    <w:p w14:paraId="369A8BC9" w14:textId="77777777" w:rsidR="002073F9" w:rsidRDefault="002073F9" w:rsidP="002073F9">
      <w:pPr>
        <w:pStyle w:val="NormalWeb"/>
        <w:numPr>
          <w:ilvl w:val="0"/>
          <w:numId w:val="5"/>
        </w:numPr>
      </w:pPr>
      <w:r>
        <w:t xml:space="preserve">The available evidence suggests </w:t>
      </w:r>
      <w:r>
        <w:rPr>
          <w:b/>
        </w:rPr>
        <w:t>that most elder abuse is intra-familial and intergenerational</w:t>
      </w:r>
      <w:r>
        <w:t xml:space="preserve">, </w:t>
      </w:r>
      <w:r>
        <w:rPr>
          <w:b/>
        </w:rPr>
        <w:t>with mothers most often being the subject of abuse</w:t>
      </w:r>
      <w:r>
        <w:t xml:space="preserve"> by sons, although abuse by daughters is also common, and fathers are victims too.</w:t>
      </w:r>
    </w:p>
    <w:p w14:paraId="61F1735C" w14:textId="77777777" w:rsidR="002073F9" w:rsidRDefault="002073F9" w:rsidP="002073F9">
      <w:pPr>
        <w:pStyle w:val="NormalWeb"/>
        <w:numPr>
          <w:ilvl w:val="0"/>
          <w:numId w:val="5"/>
        </w:numPr>
      </w:pPr>
      <w:r>
        <w:rPr>
          <w:b/>
        </w:rPr>
        <w:t>Financial abuse appears to be the most common form of abuse experienced by elderly people</w:t>
      </w:r>
      <w:r>
        <w:t>, and this is the area where most empirical research is available. Psychological abuse appears slightly less common than financial abuse, and seems to frequently co-occur with financial abuse.</w:t>
      </w:r>
    </w:p>
    <w:p w14:paraId="06E38C5B" w14:textId="77777777" w:rsidR="002073F9" w:rsidRDefault="002073F9" w:rsidP="002073F9">
      <w:pPr>
        <w:pStyle w:val="NormalWeb"/>
        <w:numPr>
          <w:ilvl w:val="0"/>
          <w:numId w:val="5"/>
        </w:numPr>
      </w:pPr>
      <w:r>
        <w:t>The problem of elder abuse is of increasing concern as in the coming decades unprecedented proportions of Australia’s populations will be older: in 2050, just over a fifth of the population is projected to be over 65 and those aged 85 and over are projected to represent about 5% of the population.</w:t>
      </w:r>
    </w:p>
    <w:p w14:paraId="628C432B" w14:textId="77777777" w:rsidR="002073F9" w:rsidRDefault="002073F9" w:rsidP="002073F9">
      <w:pPr>
        <w:pStyle w:val="NormalWeb"/>
        <w:numPr>
          <w:ilvl w:val="0"/>
          <w:numId w:val="5"/>
        </w:numPr>
      </w:pPr>
      <w:r>
        <w:t>Our federal system of government means that responses to elder abuse are complicated as they are contained within multiple layers of legislative and policy frameworks across health, ageing and law at Commonwealth and state level.”</w:t>
      </w:r>
      <w:r>
        <w:rPr>
          <w:rStyle w:val="FootnoteReference"/>
        </w:rPr>
        <w:footnoteReference w:id="25"/>
      </w:r>
    </w:p>
    <w:p w14:paraId="2A397377" w14:textId="77777777" w:rsidR="002073F9" w:rsidRDefault="002073F9" w:rsidP="002073F9">
      <w:pPr>
        <w:spacing w:line="276" w:lineRule="auto"/>
        <w:rPr>
          <w:rFonts w:eastAsia="Times New Roman" w:cs="Times New Roman"/>
          <w:szCs w:val="24"/>
          <w:lang w:val="en-US"/>
        </w:rPr>
      </w:pPr>
      <w:r>
        <w:rPr>
          <w:rFonts w:eastAsia="Times New Roman" w:cs="Times New Roman"/>
          <w:szCs w:val="24"/>
          <w:lang w:val="en-US"/>
        </w:rPr>
        <w:t xml:space="preserve">On 24 June 2016, the </w:t>
      </w:r>
      <w:r>
        <w:rPr>
          <w:rFonts w:eastAsia="Times New Roman" w:cs="Times New Roman"/>
          <w:b/>
          <w:szCs w:val="24"/>
          <w:lang w:val="en-US"/>
        </w:rPr>
        <w:t>General Purpose Standing Committee No. 2 (the Committee) of the NSW Legislative Council</w:t>
      </w:r>
      <w:r>
        <w:rPr>
          <w:rFonts w:eastAsia="Times New Roman" w:cs="Times New Roman"/>
          <w:szCs w:val="24"/>
          <w:lang w:val="en-US"/>
        </w:rPr>
        <w:t xml:space="preserve"> tabled the Report of the Parliamentary Inquiry into Elder Abuse in NSW (Report no 44). In summary, its recommendations are:</w:t>
      </w:r>
    </w:p>
    <w:p w14:paraId="5DBEE9EA" w14:textId="77777777" w:rsidR="002073F9" w:rsidRDefault="002073F9" w:rsidP="007F3D03">
      <w:pPr>
        <w:pStyle w:val="Heading3"/>
        <w:rPr>
          <w:rFonts w:eastAsia="Times New Roman"/>
          <w:lang w:eastAsia="en-AU"/>
        </w:rPr>
      </w:pPr>
      <w:r>
        <w:rPr>
          <w:rFonts w:eastAsia="Times New Roman"/>
          <w:lang w:eastAsia="en-AU"/>
        </w:rPr>
        <w:lastRenderedPageBreak/>
        <w:t xml:space="preserve">Recommendation 1 </w:t>
      </w:r>
    </w:p>
    <w:p w14:paraId="00208EA7" w14:textId="77777777" w:rsidR="002073F9" w:rsidRDefault="002073F9" w:rsidP="002073F9">
      <w:p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 xml:space="preserve">That the NSW Government embrace a comprehensive, coordinated and ambitious approach to elder abuse with the following elements: </w:t>
      </w:r>
    </w:p>
    <w:p w14:paraId="7C0D4B92" w14:textId="77777777" w:rsidR="002073F9" w:rsidRDefault="002073F9" w:rsidP="002073F9">
      <w:pPr>
        <w:pStyle w:val="ListParagraph"/>
        <w:numPr>
          <w:ilvl w:val="0"/>
          <w:numId w:val="6"/>
        </w:num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a rights based framework that empowers older people and upholds their autonomy, dignity and right to self-determination;</w:t>
      </w:r>
    </w:p>
    <w:p w14:paraId="25191501" w14:textId="77777777" w:rsidR="002073F9" w:rsidRDefault="002073F9" w:rsidP="002073F9">
      <w:pPr>
        <w:pStyle w:val="ListParagraph"/>
        <w:numPr>
          <w:ilvl w:val="0"/>
          <w:numId w:val="6"/>
        </w:num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a major focus on prevention and community engagement;</w:t>
      </w:r>
    </w:p>
    <w:p w14:paraId="4E479E0E" w14:textId="77777777" w:rsidR="002073F9" w:rsidRDefault="002073F9" w:rsidP="002073F9">
      <w:pPr>
        <w:pStyle w:val="ListParagraph"/>
        <w:numPr>
          <w:ilvl w:val="0"/>
          <w:numId w:val="6"/>
        </w:num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legislative reform to safeguard enduring powers of attorney and to establish a Public Advocate with powers of investigation;</w:t>
      </w:r>
    </w:p>
    <w:p w14:paraId="2C875EFF" w14:textId="77777777" w:rsidR="002073F9" w:rsidRDefault="002073F9" w:rsidP="002073F9">
      <w:pPr>
        <w:pStyle w:val="ListParagraph"/>
        <w:numPr>
          <w:ilvl w:val="0"/>
          <w:numId w:val="6"/>
        </w:num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an ambitious training plan to enable service providers to identify and respond appropriately to abuse.</w:t>
      </w:r>
    </w:p>
    <w:p w14:paraId="6054234B" w14:textId="77777777" w:rsidR="002073F9" w:rsidRDefault="002073F9" w:rsidP="002073F9">
      <w:pPr>
        <w:pStyle w:val="ListParagraph"/>
        <w:numPr>
          <w:ilvl w:val="0"/>
          <w:numId w:val="6"/>
        </w:num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an active commitment to building the evidence base for policy</w:t>
      </w:r>
    </w:p>
    <w:p w14:paraId="16DAD91A" w14:textId="77777777" w:rsidR="002073F9" w:rsidRDefault="002073F9" w:rsidP="002073F9">
      <w:pPr>
        <w:pStyle w:val="ListParagraph"/>
        <w:numPr>
          <w:ilvl w:val="0"/>
          <w:numId w:val="6"/>
        </w:num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 xml:space="preserve">an enhanced role for the NSW Elder Abuse Helpline and Resource Unit. </w:t>
      </w:r>
    </w:p>
    <w:p w14:paraId="549F6813" w14:textId="77777777" w:rsidR="002073F9" w:rsidRDefault="002073F9" w:rsidP="007F3D03">
      <w:pPr>
        <w:pStyle w:val="Heading3"/>
        <w:rPr>
          <w:rFonts w:eastAsia="Times New Roman"/>
          <w:lang w:eastAsia="en-AU"/>
        </w:rPr>
      </w:pPr>
      <w:r>
        <w:rPr>
          <w:rFonts w:eastAsia="Times New Roman"/>
          <w:lang w:eastAsia="en-AU"/>
        </w:rPr>
        <w:t xml:space="preserve">Recommendation 2 </w:t>
      </w:r>
    </w:p>
    <w:p w14:paraId="02687FD7" w14:textId="77777777" w:rsidR="002073F9" w:rsidRDefault="002073F9" w:rsidP="002073F9">
      <w:p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That the NSW Government make a significant new investment of resources in the prevention of elder abuse. This must involve the development and funding of a new prevention framework that provides for:</w:t>
      </w:r>
    </w:p>
    <w:p w14:paraId="7DFD13E6" w14:textId="77777777" w:rsidR="002073F9" w:rsidRDefault="002073F9" w:rsidP="002073F9">
      <w:pPr>
        <w:pStyle w:val="ListParagraph"/>
        <w:numPr>
          <w:ilvl w:val="0"/>
          <w:numId w:val="7"/>
        </w:num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 xml:space="preserve">substantially enhanced primary prevention, community education, awareness and engagement, carer support and later life planning initiatives; </w:t>
      </w:r>
    </w:p>
    <w:p w14:paraId="70F1529E" w14:textId="77777777" w:rsidR="002073F9" w:rsidRDefault="002073F9" w:rsidP="002073F9">
      <w:pPr>
        <w:pStyle w:val="ListParagraph"/>
        <w:numPr>
          <w:ilvl w:val="0"/>
          <w:numId w:val="7"/>
        </w:num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 xml:space="preserve">specific resources for strategies targeting culturally and linguistically diverse and Indigenous communities and engagement with Multicultural NSW and Aboriginal Affairs NSW. </w:t>
      </w:r>
    </w:p>
    <w:p w14:paraId="6DEEA347" w14:textId="77777777" w:rsidR="002073F9" w:rsidRDefault="002073F9" w:rsidP="007F3D03">
      <w:pPr>
        <w:pStyle w:val="Heading3"/>
        <w:rPr>
          <w:rFonts w:eastAsia="Times New Roman"/>
          <w:lang w:eastAsia="en-AU"/>
        </w:rPr>
      </w:pPr>
      <w:r>
        <w:rPr>
          <w:rFonts w:eastAsia="Times New Roman"/>
          <w:lang w:eastAsia="en-AU"/>
        </w:rPr>
        <w:t xml:space="preserve">Recommendation 3 </w:t>
      </w:r>
    </w:p>
    <w:p w14:paraId="76FAC0EB" w14:textId="77777777" w:rsidR="002073F9" w:rsidRDefault="002073F9" w:rsidP="002073F9">
      <w:p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 xml:space="preserve">That the NSW Steering Committee on the Prevention of Abuse of Older People meet at least quarterly in order to enhance accountability and drive the implementation of government policy. </w:t>
      </w:r>
    </w:p>
    <w:p w14:paraId="6C04B015" w14:textId="77777777" w:rsidR="002073F9" w:rsidRDefault="002073F9" w:rsidP="007F3D03">
      <w:pPr>
        <w:pStyle w:val="Heading3"/>
        <w:rPr>
          <w:rFonts w:eastAsia="Times New Roman"/>
          <w:lang w:eastAsia="en-AU"/>
        </w:rPr>
      </w:pPr>
      <w:r>
        <w:rPr>
          <w:rFonts w:eastAsia="Times New Roman"/>
          <w:lang w:eastAsia="en-AU"/>
        </w:rPr>
        <w:t xml:space="preserve">Recommendation 4 </w:t>
      </w:r>
    </w:p>
    <w:p w14:paraId="0AE3FDC8" w14:textId="77777777" w:rsidR="002073F9" w:rsidRDefault="002073F9" w:rsidP="002073F9">
      <w:p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 xml:space="preserve">That in undertaking the three-year review of the NSW Interagency policy for preventing and responding to abuse of older people, the NSW Government: </w:t>
      </w:r>
    </w:p>
    <w:p w14:paraId="678BA7B6" w14:textId="77777777" w:rsidR="002073F9" w:rsidRDefault="002073F9" w:rsidP="002073F9">
      <w:pPr>
        <w:pStyle w:val="ListParagraph"/>
        <w:numPr>
          <w:ilvl w:val="0"/>
          <w:numId w:val="8"/>
        </w:num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 xml:space="preserve">explicitly consider the improvements to content recommended by stakeholders documented in our report, including with regard to duty of care, reporting requirements in respect of a crime, and privacy and confidentiality; </w:t>
      </w:r>
    </w:p>
    <w:p w14:paraId="73ADEAF3" w14:textId="77777777" w:rsidR="002073F9" w:rsidRDefault="002073F9" w:rsidP="002073F9">
      <w:pPr>
        <w:pStyle w:val="ListParagraph"/>
        <w:numPr>
          <w:ilvl w:val="0"/>
          <w:numId w:val="8"/>
        </w:num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 xml:space="preserve">conduct further consultation on potential improvements with relevant government and non-government stakeholders; </w:t>
      </w:r>
    </w:p>
    <w:p w14:paraId="721B5373" w14:textId="77777777" w:rsidR="002073F9" w:rsidRDefault="002073F9" w:rsidP="002073F9">
      <w:pPr>
        <w:pStyle w:val="ListParagraph"/>
        <w:numPr>
          <w:ilvl w:val="0"/>
          <w:numId w:val="8"/>
        </w:num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develop a comprehensive strategy to ensure widespread promulgation of a revised policy;</w:t>
      </w:r>
    </w:p>
    <w:p w14:paraId="1D5D67A1" w14:textId="77777777" w:rsidR="002073F9" w:rsidRDefault="002073F9" w:rsidP="002073F9">
      <w:pPr>
        <w:pStyle w:val="ListParagraph"/>
        <w:numPr>
          <w:ilvl w:val="0"/>
          <w:numId w:val="8"/>
        </w:num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 xml:space="preserve">ensure that service providers exercise their responsibilities under the policy. </w:t>
      </w:r>
    </w:p>
    <w:p w14:paraId="4B90180A" w14:textId="77777777" w:rsidR="002073F9" w:rsidRDefault="002073F9" w:rsidP="007F3D03">
      <w:pPr>
        <w:pStyle w:val="Heading3"/>
        <w:rPr>
          <w:rFonts w:eastAsia="Times New Roman"/>
          <w:lang w:eastAsia="en-AU"/>
        </w:rPr>
      </w:pPr>
      <w:r>
        <w:rPr>
          <w:rFonts w:eastAsia="Times New Roman"/>
          <w:lang w:eastAsia="en-AU"/>
        </w:rPr>
        <w:lastRenderedPageBreak/>
        <w:t xml:space="preserve">Recommendation 5 </w:t>
      </w:r>
    </w:p>
    <w:p w14:paraId="71F718F6" w14:textId="77777777" w:rsidR="002073F9" w:rsidRDefault="002073F9" w:rsidP="002073F9">
      <w:p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 xml:space="preserve">That the Department of Family and Community Services and the NSW Ministry of Health develop and fund a comprehensive plan addressing the training needs of service providers, to enable better identification of and responses to abuse. The plan should address: </w:t>
      </w:r>
    </w:p>
    <w:p w14:paraId="2F8593B3" w14:textId="77777777" w:rsidR="002073F9" w:rsidRDefault="002073F9" w:rsidP="002073F9">
      <w:pPr>
        <w:pStyle w:val="ListParagraph"/>
        <w:numPr>
          <w:ilvl w:val="0"/>
          <w:numId w:val="9"/>
        </w:num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 xml:space="preserve">the role of the NSW Elder Abuse Helpline and Resource Unit and other potential training providers; </w:t>
      </w:r>
    </w:p>
    <w:p w14:paraId="327FF718" w14:textId="77777777" w:rsidR="002073F9" w:rsidRDefault="002073F9" w:rsidP="002073F9">
      <w:pPr>
        <w:pStyle w:val="ListParagraph"/>
        <w:numPr>
          <w:ilvl w:val="0"/>
          <w:numId w:val="9"/>
        </w:num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 xml:space="preserve">the needs of the full range of service providers including general practitioners and other health professionals; </w:t>
      </w:r>
    </w:p>
    <w:p w14:paraId="72372EFB" w14:textId="77777777" w:rsidR="002073F9" w:rsidRDefault="002073F9" w:rsidP="002073F9">
      <w:pPr>
        <w:pStyle w:val="ListParagraph"/>
        <w:numPr>
          <w:ilvl w:val="0"/>
          <w:numId w:val="9"/>
        </w:num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 xml:space="preserve">the potential for mandatory training for some service providers. </w:t>
      </w:r>
    </w:p>
    <w:p w14:paraId="37B4C126" w14:textId="77777777" w:rsidR="002073F9" w:rsidRDefault="002073F9" w:rsidP="007F3D03">
      <w:pPr>
        <w:pStyle w:val="Heading3"/>
        <w:rPr>
          <w:rFonts w:eastAsia="Times New Roman"/>
          <w:lang w:eastAsia="en-AU"/>
        </w:rPr>
      </w:pPr>
      <w:r>
        <w:rPr>
          <w:rFonts w:eastAsia="Times New Roman"/>
          <w:lang w:eastAsia="en-AU"/>
        </w:rPr>
        <w:t xml:space="preserve">Recommendation 6 </w:t>
      </w:r>
    </w:p>
    <w:p w14:paraId="2C62AB1E" w14:textId="77777777" w:rsidR="002073F9" w:rsidRDefault="002073F9" w:rsidP="002073F9">
      <w:p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 xml:space="preserve">That the NSW Government expand the role of the NSW Elder Abuse Helpline and Resource Unit to include: </w:t>
      </w:r>
    </w:p>
    <w:p w14:paraId="604B6F58" w14:textId="77777777" w:rsidR="002073F9" w:rsidRDefault="002073F9" w:rsidP="002073F9">
      <w:pPr>
        <w:pStyle w:val="ListParagraph"/>
        <w:numPr>
          <w:ilvl w:val="0"/>
          <w:numId w:val="10"/>
        </w:num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 xml:space="preserve">provision of case management and coordination; </w:t>
      </w:r>
    </w:p>
    <w:p w14:paraId="48FB6DD1" w14:textId="77777777" w:rsidR="002073F9" w:rsidRDefault="002073F9" w:rsidP="002073F9">
      <w:pPr>
        <w:pStyle w:val="ListParagraph"/>
        <w:numPr>
          <w:ilvl w:val="0"/>
          <w:numId w:val="10"/>
        </w:num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 xml:space="preserve">consideration of Helpline operating hours, based on an assessment of demand; </w:t>
      </w:r>
    </w:p>
    <w:p w14:paraId="70B0C583" w14:textId="77777777" w:rsidR="002073F9" w:rsidRDefault="002073F9" w:rsidP="002073F9">
      <w:pPr>
        <w:pStyle w:val="ListParagraph"/>
        <w:numPr>
          <w:ilvl w:val="0"/>
          <w:numId w:val="10"/>
        </w:num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 xml:space="preserve">adequate provision for culturally and linguistically diverse and Aboriginal clients. </w:t>
      </w:r>
    </w:p>
    <w:p w14:paraId="42DFE1AC" w14:textId="77777777" w:rsidR="002073F9" w:rsidRDefault="002073F9" w:rsidP="007F3D03">
      <w:pPr>
        <w:pStyle w:val="Heading3"/>
        <w:rPr>
          <w:rFonts w:eastAsia="Times New Roman"/>
          <w:lang w:eastAsia="en-AU"/>
        </w:rPr>
      </w:pPr>
      <w:r>
        <w:rPr>
          <w:rFonts w:eastAsia="Times New Roman"/>
          <w:lang w:eastAsia="en-AU"/>
        </w:rPr>
        <w:t xml:space="preserve">Recommendation 7 </w:t>
      </w:r>
    </w:p>
    <w:p w14:paraId="21E15575" w14:textId="77777777" w:rsidR="002073F9" w:rsidRDefault="002073F9" w:rsidP="002073F9">
      <w:p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 xml:space="preserve">That the NSW Government, as a priority, introduce legislation to amend the Powers of Attorney Act 2003 consistent with Victoria’s Powers of Attorney Act 2014, thereby significantly enhancing safeguards in respect of enduring powers of attorney. </w:t>
      </w:r>
    </w:p>
    <w:p w14:paraId="56B8AB85" w14:textId="77777777" w:rsidR="002073F9" w:rsidRDefault="002073F9" w:rsidP="007F3D03">
      <w:pPr>
        <w:pStyle w:val="Heading3"/>
        <w:rPr>
          <w:rFonts w:eastAsia="Times New Roman"/>
          <w:lang w:eastAsia="en-AU"/>
        </w:rPr>
      </w:pPr>
      <w:r>
        <w:rPr>
          <w:rFonts w:eastAsia="Times New Roman"/>
          <w:lang w:eastAsia="en-AU"/>
        </w:rPr>
        <w:t xml:space="preserve">Recommendation 8 </w:t>
      </w:r>
    </w:p>
    <w:p w14:paraId="059900EF" w14:textId="77777777" w:rsidR="002073F9" w:rsidRDefault="002073F9" w:rsidP="002073F9">
      <w:p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 xml:space="preserve">That the NSW Government liaise with Law Society of New South Wales to request that the Society include a unit on the assessment of mental capacity in respect of substitute decision making, wills and property transactions in its Continuing Professional Development Program for legal practitioners. </w:t>
      </w:r>
    </w:p>
    <w:p w14:paraId="0B00DDAC" w14:textId="77777777" w:rsidR="002073F9" w:rsidRDefault="002073F9" w:rsidP="007F3D03">
      <w:pPr>
        <w:pStyle w:val="Heading3"/>
        <w:rPr>
          <w:rFonts w:eastAsia="Times New Roman"/>
          <w:lang w:eastAsia="en-AU"/>
        </w:rPr>
      </w:pPr>
      <w:r>
        <w:rPr>
          <w:rFonts w:eastAsia="Times New Roman"/>
          <w:lang w:eastAsia="en-AU"/>
        </w:rPr>
        <w:t xml:space="preserve">Recommendation 9 </w:t>
      </w:r>
    </w:p>
    <w:p w14:paraId="3B44C522" w14:textId="77777777" w:rsidR="002073F9" w:rsidRDefault="002073F9" w:rsidP="002073F9">
      <w:p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 xml:space="preserve">That the NSW Government fund the NSW Elder Abuse Helpline and Resource Unit to conduct information sessions with financial institutions to raise awareness of financial abuse and promote online training tools for staff such as Capacity Australia’s training program to identify financial abuse. </w:t>
      </w:r>
    </w:p>
    <w:p w14:paraId="64453CD9" w14:textId="77777777" w:rsidR="002073F9" w:rsidRDefault="002073F9" w:rsidP="007F3D03">
      <w:pPr>
        <w:pStyle w:val="Heading3"/>
        <w:rPr>
          <w:rFonts w:eastAsia="Times New Roman"/>
          <w:lang w:eastAsia="en-AU"/>
        </w:rPr>
      </w:pPr>
      <w:r>
        <w:rPr>
          <w:rFonts w:eastAsia="Times New Roman"/>
          <w:lang w:eastAsia="en-AU"/>
        </w:rPr>
        <w:t xml:space="preserve">Recommendation 10 </w:t>
      </w:r>
    </w:p>
    <w:p w14:paraId="4F3C5049" w14:textId="77777777" w:rsidR="002073F9" w:rsidRDefault="002073F9" w:rsidP="002073F9">
      <w:p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 xml:space="preserve">That the NSW Police Force establish a Vulnerable Community Support Officer in each Regional Command in New South Wales, with the position entailing training and support to front line officers, police response, liaison with local service providers and other government agencies, community education, awareness and engagement. </w:t>
      </w:r>
    </w:p>
    <w:p w14:paraId="67FAAF08" w14:textId="77777777" w:rsidR="002073F9" w:rsidRDefault="002073F9" w:rsidP="007F3D03">
      <w:pPr>
        <w:pStyle w:val="Heading3"/>
        <w:rPr>
          <w:rFonts w:eastAsia="Times New Roman"/>
          <w:lang w:eastAsia="en-AU"/>
        </w:rPr>
      </w:pPr>
      <w:r>
        <w:rPr>
          <w:rFonts w:eastAsia="Times New Roman"/>
          <w:lang w:eastAsia="en-AU"/>
        </w:rPr>
        <w:lastRenderedPageBreak/>
        <w:t xml:space="preserve">Recommendation 11 </w:t>
      </w:r>
    </w:p>
    <w:p w14:paraId="1719B6C0" w14:textId="77777777" w:rsidR="002073F9" w:rsidRDefault="002073F9" w:rsidP="002073F9">
      <w:pPr>
        <w:autoSpaceDE w:val="0"/>
        <w:autoSpaceDN w:val="0"/>
        <w:adjustRightInd w:val="0"/>
        <w:spacing w:line="276" w:lineRule="auto"/>
        <w:rPr>
          <w:rFonts w:eastAsia="Times New Roman" w:cs="Times New Roman"/>
          <w:szCs w:val="24"/>
          <w:lang w:eastAsia="en-AU"/>
        </w:rPr>
      </w:pPr>
      <w:r>
        <w:rPr>
          <w:rFonts w:eastAsia="Times New Roman" w:cs="Times New Roman"/>
          <w:szCs w:val="24"/>
          <w:lang w:eastAsia="en-AU"/>
        </w:rPr>
        <w:t xml:space="preserve">That the NSW Government introduce legislation to establish a Public Advocate’s Office along the lines of the Victorian model, with powers to investigate complaints and allegations about abuse, neglect and exploitation of vulnerable adults, to initiate its own investigations where it considers this warranted, and to promote and protect the rights of vulnerable adults at risk of abuse. Further, that the operation of the Office be reviewed after three years.   </w:t>
      </w:r>
    </w:p>
    <w:p w14:paraId="0CD4F947" w14:textId="7F2F6055" w:rsidR="002073F9" w:rsidRDefault="002073F9" w:rsidP="007F3D03">
      <w:pPr>
        <w:pStyle w:val="Heading2"/>
        <w:rPr>
          <w:rFonts w:eastAsia="Times New Roman"/>
          <w:lang w:eastAsia="en-AU"/>
        </w:rPr>
      </w:pPr>
      <w:r>
        <w:rPr>
          <w:rFonts w:eastAsia="Times New Roman"/>
          <w:lang w:eastAsia="en-AU"/>
        </w:rPr>
        <w:t>T</w:t>
      </w:r>
      <w:r w:rsidR="00906651">
        <w:rPr>
          <w:rFonts w:eastAsia="Times New Roman"/>
          <w:lang w:eastAsia="en-AU"/>
        </w:rPr>
        <w:t>asmania</w:t>
      </w:r>
    </w:p>
    <w:p w14:paraId="616BC094" w14:textId="77777777" w:rsidR="002073F9" w:rsidRDefault="002073F9" w:rsidP="002073F9">
      <w:pPr>
        <w:spacing w:line="276" w:lineRule="auto"/>
        <w:rPr>
          <w:rFonts w:cs="Times New Roman"/>
          <w:szCs w:val="24"/>
        </w:rPr>
      </w:pPr>
      <w:r>
        <w:rPr>
          <w:rFonts w:cs="Times New Roman"/>
          <w:szCs w:val="24"/>
        </w:rPr>
        <w:t xml:space="preserve">In Tasmania, the Tasmania Law Reform Institute (TLRI) has received a reference form the Tasmanian Attorney General to review the operation of the </w:t>
      </w:r>
      <w:r>
        <w:rPr>
          <w:rFonts w:cs="Times New Roman"/>
          <w:i/>
          <w:szCs w:val="24"/>
        </w:rPr>
        <w:t xml:space="preserve">Guardianship and Administration Act 1995 </w:t>
      </w:r>
      <w:r>
        <w:rPr>
          <w:rFonts w:cs="Times New Roman"/>
          <w:szCs w:val="24"/>
        </w:rPr>
        <w:t xml:space="preserve">(Tas). Work on this reference will commence at the end of July 2017. The terms of reference are: </w:t>
      </w:r>
    </w:p>
    <w:p w14:paraId="7DC7D8E9" w14:textId="77777777" w:rsidR="002073F9" w:rsidRDefault="002073F9" w:rsidP="002073F9">
      <w:pPr>
        <w:spacing w:line="276" w:lineRule="auto"/>
        <w:rPr>
          <w:rFonts w:cs="Times New Roman"/>
          <w:szCs w:val="24"/>
        </w:rPr>
      </w:pPr>
      <w:r>
        <w:rPr>
          <w:rFonts w:cs="Times New Roman"/>
          <w:szCs w:val="24"/>
        </w:rPr>
        <w:t>To ensure that guardianship and administration law in Tasmania is responsive to the needs of persons in the community with impaired decision-making capacities and advances, promotes and protects the rights of people with impaired decision-making capacity.</w:t>
      </w:r>
    </w:p>
    <w:p w14:paraId="76D9591A" w14:textId="77777777" w:rsidR="002073F9" w:rsidRDefault="002073F9" w:rsidP="002073F9">
      <w:pPr>
        <w:spacing w:line="276" w:lineRule="auto"/>
        <w:rPr>
          <w:rFonts w:cs="Times New Roman"/>
          <w:szCs w:val="24"/>
        </w:rPr>
      </w:pPr>
      <w:r>
        <w:rPr>
          <w:rFonts w:cs="Times New Roman"/>
          <w:szCs w:val="24"/>
        </w:rPr>
        <w:t xml:space="preserve">To review and report on the need for or desirability of changes to the Tasmanian </w:t>
      </w:r>
      <w:r>
        <w:rPr>
          <w:rFonts w:cs="Times New Roman"/>
          <w:i/>
          <w:szCs w:val="24"/>
        </w:rPr>
        <w:t xml:space="preserve">Guardianship and Administration Act 1995, </w:t>
      </w:r>
      <w:r>
        <w:rPr>
          <w:rFonts w:cs="Times New Roman"/>
          <w:szCs w:val="24"/>
        </w:rPr>
        <w:t>having regard to the following:</w:t>
      </w:r>
    </w:p>
    <w:p w14:paraId="0B3C4165" w14:textId="77777777" w:rsidR="002073F9" w:rsidRDefault="002073F9" w:rsidP="002073F9">
      <w:pPr>
        <w:pStyle w:val="ListParagraph"/>
        <w:numPr>
          <w:ilvl w:val="0"/>
          <w:numId w:val="11"/>
        </w:numPr>
        <w:spacing w:line="276" w:lineRule="auto"/>
        <w:rPr>
          <w:rFonts w:cs="Times New Roman"/>
          <w:szCs w:val="24"/>
        </w:rPr>
      </w:pPr>
      <w:r>
        <w:rPr>
          <w:rFonts w:cs="Times New Roman"/>
          <w:szCs w:val="24"/>
        </w:rPr>
        <w:t xml:space="preserve">the general principles in the United Nations </w:t>
      </w:r>
      <w:r>
        <w:rPr>
          <w:rFonts w:cs="Times New Roman"/>
          <w:i/>
          <w:szCs w:val="24"/>
        </w:rPr>
        <w:t>Convention on the Rights of Persons with Disabilities</w:t>
      </w:r>
      <w:r>
        <w:rPr>
          <w:rFonts w:cs="Times New Roman"/>
          <w:szCs w:val="24"/>
        </w:rPr>
        <w:t xml:space="preserve"> and other international human rights instruments;</w:t>
      </w:r>
    </w:p>
    <w:p w14:paraId="21A5786A" w14:textId="77777777" w:rsidR="002073F9" w:rsidRDefault="002073F9" w:rsidP="002073F9">
      <w:pPr>
        <w:pStyle w:val="ListParagraph"/>
        <w:numPr>
          <w:ilvl w:val="0"/>
          <w:numId w:val="11"/>
        </w:numPr>
        <w:spacing w:line="276" w:lineRule="auto"/>
        <w:rPr>
          <w:rFonts w:cs="Times New Roman"/>
          <w:szCs w:val="24"/>
        </w:rPr>
      </w:pPr>
      <w:r>
        <w:rPr>
          <w:rFonts w:cs="Times New Roman"/>
          <w:szCs w:val="24"/>
        </w:rPr>
        <w:t>developments in policy, law and practice in Tasmania and other jurisdictions that may impact on persons with impaired decision-making capacity since the Act commenced;</w:t>
      </w:r>
    </w:p>
    <w:p w14:paraId="6409413D" w14:textId="77777777" w:rsidR="002073F9" w:rsidRDefault="002073F9" w:rsidP="002073F9">
      <w:pPr>
        <w:pStyle w:val="ListParagraph"/>
        <w:numPr>
          <w:ilvl w:val="0"/>
          <w:numId w:val="11"/>
        </w:numPr>
        <w:spacing w:line="276" w:lineRule="auto"/>
        <w:rPr>
          <w:rFonts w:cs="Times New Roman"/>
          <w:szCs w:val="24"/>
        </w:rPr>
      </w:pPr>
      <w:r>
        <w:rPr>
          <w:rFonts w:cs="Times New Roman"/>
          <w:szCs w:val="24"/>
        </w:rPr>
        <w:t>whether the current guardianship and administration framework will be sustainable and responsive to the needs of Tasmanians, in particular demographic changes.</w:t>
      </w:r>
    </w:p>
    <w:p w14:paraId="2F14EB8E" w14:textId="77777777" w:rsidR="00E55F08" w:rsidRDefault="00E55F08" w:rsidP="002073F9">
      <w:pPr>
        <w:spacing w:line="276" w:lineRule="auto"/>
        <w:rPr>
          <w:rFonts w:cs="Times New Roman"/>
          <w:szCs w:val="24"/>
        </w:rPr>
      </w:pPr>
    </w:p>
    <w:p w14:paraId="387F1A73" w14:textId="77777777" w:rsidR="00E55F08" w:rsidRDefault="00E55F08" w:rsidP="002073F9">
      <w:pPr>
        <w:spacing w:line="276" w:lineRule="auto"/>
        <w:rPr>
          <w:rFonts w:cs="Times New Roman"/>
          <w:szCs w:val="24"/>
        </w:rPr>
      </w:pPr>
    </w:p>
    <w:p w14:paraId="5218ACFB" w14:textId="12789F2C" w:rsidR="002073F9" w:rsidRDefault="002073F9" w:rsidP="002073F9">
      <w:pPr>
        <w:spacing w:line="276" w:lineRule="auto"/>
        <w:rPr>
          <w:rFonts w:cs="Times New Roman"/>
          <w:szCs w:val="24"/>
        </w:rPr>
      </w:pPr>
      <w:r>
        <w:rPr>
          <w:rFonts w:cs="Times New Roman"/>
          <w:szCs w:val="24"/>
        </w:rPr>
        <w:t>In particular the Institute is to have regard to:</w:t>
      </w:r>
    </w:p>
    <w:p w14:paraId="17B101A3" w14:textId="77777777" w:rsidR="002073F9" w:rsidRDefault="002073F9" w:rsidP="002073F9">
      <w:pPr>
        <w:pStyle w:val="ListParagraph"/>
        <w:numPr>
          <w:ilvl w:val="0"/>
          <w:numId w:val="12"/>
        </w:numPr>
        <w:spacing w:line="276" w:lineRule="auto"/>
        <w:rPr>
          <w:rFonts w:cs="Times New Roman"/>
          <w:szCs w:val="24"/>
        </w:rPr>
      </w:pPr>
      <w:r>
        <w:rPr>
          <w:rFonts w:cs="Times New Roman"/>
          <w:szCs w:val="24"/>
        </w:rPr>
        <w:t>the role of guardians, administrators and ‘persons responsible’ in advancing the interests of persons with impaired capacity when making substitute decisions in line with national and international trends;</w:t>
      </w:r>
    </w:p>
    <w:p w14:paraId="7C9885A1" w14:textId="77777777" w:rsidR="002073F9" w:rsidRDefault="002073F9" w:rsidP="002073F9">
      <w:pPr>
        <w:pStyle w:val="ListParagraph"/>
        <w:numPr>
          <w:ilvl w:val="0"/>
          <w:numId w:val="12"/>
        </w:numPr>
        <w:spacing w:line="276" w:lineRule="auto"/>
        <w:rPr>
          <w:rFonts w:cs="Times New Roman"/>
          <w:szCs w:val="24"/>
        </w:rPr>
      </w:pPr>
      <w:r>
        <w:rPr>
          <w:rFonts w:cs="Times New Roman"/>
          <w:szCs w:val="24"/>
        </w:rPr>
        <w:t xml:space="preserve">the need to ensure that the powers and duties of guardians, administrators and ‘persons responsible’ are effective, appropriate and, advance the best interests of persons with impaired capacity; </w:t>
      </w:r>
    </w:p>
    <w:p w14:paraId="024B7345" w14:textId="77777777" w:rsidR="002073F9" w:rsidRDefault="002073F9" w:rsidP="002073F9">
      <w:pPr>
        <w:pStyle w:val="ListParagraph"/>
        <w:numPr>
          <w:ilvl w:val="0"/>
          <w:numId w:val="12"/>
        </w:numPr>
        <w:spacing w:line="276" w:lineRule="auto"/>
        <w:rPr>
          <w:rFonts w:cs="Times New Roman"/>
          <w:szCs w:val="24"/>
        </w:rPr>
      </w:pPr>
      <w:r>
        <w:rPr>
          <w:rFonts w:cs="Times New Roman"/>
          <w:szCs w:val="24"/>
        </w:rPr>
        <w:t>the functions, powers and duties of the Guardianship and Administration Board and Office of the Public Guardian;</w:t>
      </w:r>
    </w:p>
    <w:p w14:paraId="2391C242" w14:textId="77777777" w:rsidR="002073F9" w:rsidRDefault="002073F9" w:rsidP="002073F9">
      <w:pPr>
        <w:pStyle w:val="ListParagraph"/>
        <w:numPr>
          <w:ilvl w:val="0"/>
          <w:numId w:val="12"/>
        </w:numPr>
        <w:spacing w:line="276" w:lineRule="auto"/>
        <w:rPr>
          <w:rFonts w:cs="Times New Roman"/>
          <w:szCs w:val="24"/>
        </w:rPr>
      </w:pPr>
      <w:r>
        <w:rPr>
          <w:rFonts w:cs="Times New Roman"/>
          <w:szCs w:val="24"/>
        </w:rPr>
        <w:t>the appropriateness of current mechanisms to address poor conduct of guardians, administrators and ‘persons responsible’ not acting in the best interests of a person with impaired capacity;</w:t>
      </w:r>
    </w:p>
    <w:p w14:paraId="29D62D8E" w14:textId="77777777" w:rsidR="002073F9" w:rsidRDefault="002073F9" w:rsidP="002073F9">
      <w:pPr>
        <w:pStyle w:val="ListParagraph"/>
        <w:numPr>
          <w:ilvl w:val="0"/>
          <w:numId w:val="12"/>
        </w:numPr>
        <w:spacing w:line="276" w:lineRule="auto"/>
        <w:rPr>
          <w:rFonts w:cs="Times New Roman"/>
          <w:szCs w:val="24"/>
        </w:rPr>
      </w:pPr>
      <w:r>
        <w:rPr>
          <w:rFonts w:cs="Times New Roman"/>
          <w:szCs w:val="24"/>
        </w:rPr>
        <w:lastRenderedPageBreak/>
        <w:t>the provisions in relation to consenting to medical and dental treatment and how to address long term or indefinite medical treatment in institutional and non-institutional settings;</w:t>
      </w:r>
    </w:p>
    <w:p w14:paraId="189E6752" w14:textId="77777777" w:rsidR="002073F9" w:rsidRDefault="002073F9" w:rsidP="002073F9">
      <w:pPr>
        <w:pStyle w:val="ListParagraph"/>
        <w:numPr>
          <w:ilvl w:val="0"/>
          <w:numId w:val="12"/>
        </w:numPr>
        <w:spacing w:line="276" w:lineRule="auto"/>
        <w:rPr>
          <w:rFonts w:cs="Times New Roman"/>
          <w:szCs w:val="24"/>
        </w:rPr>
      </w:pPr>
      <w:r>
        <w:rPr>
          <w:rFonts w:cs="Times New Roman"/>
          <w:szCs w:val="24"/>
        </w:rPr>
        <w:t>how both informal and formal assisted or supported decision-making frameworks are working with for persons with impaired capacity in Tasmania, including consideration of national and international trends;</w:t>
      </w:r>
    </w:p>
    <w:p w14:paraId="0FEE7A40" w14:textId="77777777" w:rsidR="002073F9" w:rsidRDefault="002073F9" w:rsidP="002073F9">
      <w:pPr>
        <w:pStyle w:val="ListParagraph"/>
        <w:numPr>
          <w:ilvl w:val="0"/>
          <w:numId w:val="12"/>
        </w:numPr>
        <w:spacing w:line="276" w:lineRule="auto"/>
        <w:rPr>
          <w:rFonts w:cs="Times New Roman"/>
          <w:i/>
          <w:szCs w:val="24"/>
        </w:rPr>
      </w:pPr>
      <w:r>
        <w:rPr>
          <w:rFonts w:cs="Times New Roman"/>
          <w:szCs w:val="24"/>
        </w:rPr>
        <w:t xml:space="preserve">the interrelationship between the </w:t>
      </w:r>
      <w:r>
        <w:rPr>
          <w:rFonts w:cs="Times New Roman"/>
          <w:i/>
          <w:szCs w:val="24"/>
        </w:rPr>
        <w:t xml:space="preserve">Guardianship and Administration Act 1995 </w:t>
      </w:r>
      <w:r>
        <w:rPr>
          <w:rFonts w:cs="Times New Roman"/>
          <w:szCs w:val="24"/>
        </w:rPr>
        <w:t xml:space="preserve">(Tas) and other relevant Tasmanian legislation, in particular the </w:t>
      </w:r>
      <w:r>
        <w:rPr>
          <w:rFonts w:cs="Times New Roman"/>
          <w:i/>
          <w:szCs w:val="24"/>
        </w:rPr>
        <w:t xml:space="preserve">Mental Health Act 2013, Disability Services Act 2011 </w:t>
      </w:r>
      <w:r>
        <w:rPr>
          <w:rFonts w:cs="Times New Roman"/>
          <w:szCs w:val="24"/>
        </w:rPr>
        <w:t xml:space="preserve">and associated regulations, </w:t>
      </w:r>
      <w:r>
        <w:rPr>
          <w:rFonts w:cs="Times New Roman"/>
          <w:i/>
          <w:szCs w:val="24"/>
        </w:rPr>
        <w:t xml:space="preserve">Powers of Attorney Act 2000, Alcohol and Drug Dependency Act 1968, Public Trustee Act 1930, </w:t>
      </w:r>
      <w:r>
        <w:rPr>
          <w:rFonts w:cs="Times New Roman"/>
          <w:szCs w:val="24"/>
        </w:rPr>
        <w:t xml:space="preserve">and the </w:t>
      </w:r>
      <w:r>
        <w:rPr>
          <w:rFonts w:cs="Times New Roman"/>
          <w:i/>
          <w:szCs w:val="24"/>
        </w:rPr>
        <w:t xml:space="preserve">Trustee Act 1898, </w:t>
      </w:r>
      <w:r>
        <w:rPr>
          <w:rFonts w:cs="Times New Roman"/>
          <w:szCs w:val="24"/>
        </w:rPr>
        <w:t>and how these Acts should interact if legislative amendments are proposed; and</w:t>
      </w:r>
    </w:p>
    <w:p w14:paraId="4AD4AB56" w14:textId="77777777" w:rsidR="002073F9" w:rsidRDefault="002073F9" w:rsidP="002073F9">
      <w:pPr>
        <w:pStyle w:val="ListParagraph"/>
        <w:numPr>
          <w:ilvl w:val="0"/>
          <w:numId w:val="12"/>
        </w:numPr>
        <w:spacing w:line="276" w:lineRule="auto"/>
        <w:rPr>
          <w:rFonts w:cs="Times New Roman"/>
          <w:i/>
          <w:szCs w:val="24"/>
        </w:rPr>
      </w:pPr>
      <w:r>
        <w:rPr>
          <w:rFonts w:cs="Times New Roman"/>
          <w:i/>
          <w:szCs w:val="24"/>
        </w:rPr>
        <w:t xml:space="preserve"> </w:t>
      </w:r>
      <w:r>
        <w:rPr>
          <w:rFonts w:cs="Times New Roman"/>
          <w:szCs w:val="24"/>
        </w:rPr>
        <w:t>other matters the Tasmanian Law Reform Institute considers relevant to the Terms of Reference.</w:t>
      </w:r>
    </w:p>
    <w:p w14:paraId="5BBDE406" w14:textId="77777777" w:rsidR="002073F9" w:rsidRDefault="002073F9" w:rsidP="002073F9">
      <w:pPr>
        <w:spacing w:line="276" w:lineRule="auto"/>
        <w:rPr>
          <w:rFonts w:cs="Times New Roman"/>
          <w:szCs w:val="24"/>
        </w:rPr>
      </w:pPr>
      <w:r>
        <w:rPr>
          <w:rFonts w:cs="Times New Roman"/>
          <w:szCs w:val="24"/>
        </w:rPr>
        <w:t xml:space="preserve">This reference is in line with the national trend in other Australian jurisdictions to review Guardianship and Administration legislation. It also accords with the recommendations made in the ALRC Report </w:t>
      </w:r>
      <w:r>
        <w:rPr>
          <w:rFonts w:cs="Times New Roman"/>
          <w:i/>
          <w:szCs w:val="24"/>
        </w:rPr>
        <w:t>Elder Abuse—A National Legal Response</w:t>
      </w:r>
      <w:r>
        <w:rPr>
          <w:rFonts w:cs="Times New Roman"/>
          <w:szCs w:val="24"/>
        </w:rPr>
        <w:t xml:space="preserve"> (ALRC Report 131) ad with the recommendations made by the </w:t>
      </w:r>
      <w:r>
        <w:rPr>
          <w:rFonts w:eastAsia="Times New Roman" w:cs="Times New Roman"/>
          <w:szCs w:val="24"/>
          <w:lang w:val="en-US"/>
        </w:rPr>
        <w:t>General Purpose Standing Committee No. 2 (the Committee) of the NSW Legislative Council in its report on Elder Abuse in NSW (Report no 44)</w:t>
      </w:r>
      <w:r>
        <w:rPr>
          <w:rFonts w:cs="Times New Roman"/>
          <w:szCs w:val="24"/>
        </w:rPr>
        <w:t xml:space="preserve">. </w:t>
      </w:r>
    </w:p>
    <w:p w14:paraId="4F34B2C6" w14:textId="77777777" w:rsidR="002073F9" w:rsidRDefault="002073F9" w:rsidP="002073F9">
      <w:pPr>
        <w:autoSpaceDE w:val="0"/>
        <w:autoSpaceDN w:val="0"/>
        <w:adjustRightInd w:val="0"/>
        <w:spacing w:line="276" w:lineRule="auto"/>
        <w:rPr>
          <w:rFonts w:cs="Times New Roman"/>
          <w:szCs w:val="24"/>
        </w:rPr>
      </w:pPr>
      <w:r>
        <w:rPr>
          <w:rFonts w:cs="Times New Roman"/>
          <w:szCs w:val="24"/>
        </w:rPr>
        <w:t xml:space="preserve">The TLRI is also currently finalising its </w:t>
      </w:r>
      <w:r>
        <w:rPr>
          <w:rFonts w:cs="Times New Roman"/>
          <w:b/>
          <w:szCs w:val="24"/>
        </w:rPr>
        <w:t xml:space="preserve">Final Report on an </w:t>
      </w:r>
      <w:r>
        <w:rPr>
          <w:rFonts w:cs="Times New Roman"/>
          <w:b/>
          <w:i/>
          <w:szCs w:val="24"/>
        </w:rPr>
        <w:t>Intermediary/Communication Assistant Scheme</w:t>
      </w:r>
      <w:r>
        <w:rPr>
          <w:rFonts w:cs="Times New Roman"/>
          <w:b/>
          <w:szCs w:val="24"/>
        </w:rPr>
        <w:t xml:space="preserve"> for people with communication needs</w:t>
      </w:r>
      <w:r>
        <w:rPr>
          <w:rFonts w:cs="Times New Roman"/>
          <w:szCs w:val="24"/>
        </w:rPr>
        <w:t xml:space="preserve"> when involved in the criminal justice system. Recommendations made in this report may assist in addressing the barriers facing elderly people who complain of elder abuse to the police or legal counsel in gaining access to justice. Specifically, the recommendations, if implemented, may help elderly people communicate accounts of their experiences to the police, prosecutors and courts with the aid of communication assistants and intermediaries.</w:t>
      </w:r>
    </w:p>
    <w:p w14:paraId="2D9A9BF5" w14:textId="272E94E7" w:rsidR="002073F9" w:rsidRDefault="002073F9" w:rsidP="007F3D03">
      <w:pPr>
        <w:pStyle w:val="Heading2"/>
        <w:rPr>
          <w:rFonts w:eastAsia="Times New Roman" w:cs="Times New Roman"/>
          <w:szCs w:val="24"/>
          <w:lang w:eastAsia="en-AU"/>
        </w:rPr>
      </w:pPr>
      <w:r>
        <w:t>P</w:t>
      </w:r>
      <w:r w:rsidR="00906651">
        <w:t>ossible areas for law reform in Tasmania</w:t>
      </w:r>
    </w:p>
    <w:p w14:paraId="6DAF26AB" w14:textId="77777777" w:rsidR="002073F9" w:rsidRDefault="002073F9" w:rsidP="002073F9">
      <w:pPr>
        <w:pStyle w:val="ListParagraph"/>
        <w:numPr>
          <w:ilvl w:val="0"/>
          <w:numId w:val="13"/>
        </w:numPr>
        <w:autoSpaceDE w:val="0"/>
        <w:autoSpaceDN w:val="0"/>
        <w:adjustRightInd w:val="0"/>
        <w:spacing w:line="276" w:lineRule="auto"/>
        <w:rPr>
          <w:rFonts w:cs="Times New Roman"/>
          <w:i/>
          <w:szCs w:val="24"/>
        </w:rPr>
      </w:pPr>
      <w:r>
        <w:rPr>
          <w:rFonts w:eastAsia="Times New Roman" w:cs="Times New Roman"/>
          <w:szCs w:val="24"/>
          <w:lang w:eastAsia="en-AU"/>
        </w:rPr>
        <w:t xml:space="preserve">Reform of the Tasmanian </w:t>
      </w:r>
      <w:r>
        <w:rPr>
          <w:rFonts w:cs="Times New Roman"/>
          <w:i/>
          <w:szCs w:val="24"/>
        </w:rPr>
        <w:t xml:space="preserve">Registration to Work with Vulnerable People Act 2013, </w:t>
      </w:r>
      <w:r>
        <w:rPr>
          <w:rStyle w:val="doctitletoc"/>
          <w:rFonts w:cs="Times New Roman"/>
          <w:bCs/>
          <w:szCs w:val="24"/>
        </w:rPr>
        <w:t>Registration to Work with Vulnerable People Regulations 2014, and relevant Department of Justice processes and forms;</w:t>
      </w:r>
    </w:p>
    <w:p w14:paraId="736B4FFA" w14:textId="77777777" w:rsidR="002073F9" w:rsidRDefault="002073F9" w:rsidP="002073F9">
      <w:pPr>
        <w:pStyle w:val="ListParagraph"/>
        <w:numPr>
          <w:ilvl w:val="0"/>
          <w:numId w:val="13"/>
        </w:numPr>
        <w:spacing w:line="276" w:lineRule="auto"/>
        <w:rPr>
          <w:rFonts w:cs="Times New Roman"/>
          <w:szCs w:val="24"/>
        </w:rPr>
      </w:pPr>
      <w:r>
        <w:rPr>
          <w:rFonts w:cs="Times New Roman"/>
          <w:szCs w:val="24"/>
        </w:rPr>
        <w:t>Enactment of comprehensive adult protection legislation;</w:t>
      </w:r>
      <w:r>
        <w:rPr>
          <w:rStyle w:val="FootnoteReference"/>
          <w:rFonts w:cs="Times New Roman"/>
          <w:szCs w:val="24"/>
        </w:rPr>
        <w:footnoteReference w:id="26"/>
      </w:r>
    </w:p>
    <w:p w14:paraId="76E80C59" w14:textId="77777777" w:rsidR="002073F9" w:rsidRDefault="002073F9" w:rsidP="002073F9">
      <w:pPr>
        <w:pStyle w:val="ListParagraph"/>
        <w:numPr>
          <w:ilvl w:val="0"/>
          <w:numId w:val="13"/>
        </w:numPr>
        <w:spacing w:line="276" w:lineRule="auto"/>
        <w:rPr>
          <w:rFonts w:cs="Times New Roman"/>
          <w:szCs w:val="24"/>
        </w:rPr>
      </w:pPr>
      <w:r>
        <w:rPr>
          <w:rFonts w:cs="Times New Roman"/>
          <w:szCs w:val="24"/>
        </w:rPr>
        <w:t>Reform of guardianship and related laws</w:t>
      </w:r>
      <w:r>
        <w:rPr>
          <w:rStyle w:val="FootnoteReference"/>
          <w:rFonts w:cs="Times New Roman"/>
          <w:szCs w:val="24"/>
        </w:rPr>
        <w:t xml:space="preserve"> </w:t>
      </w:r>
      <w:r>
        <w:rPr>
          <w:rFonts w:cs="Times New Roman"/>
          <w:szCs w:val="24"/>
        </w:rPr>
        <w:t>(the TLRI has a reference from the AG on this matter);</w:t>
      </w:r>
    </w:p>
    <w:p w14:paraId="3F2EAD24" w14:textId="77777777" w:rsidR="002073F9" w:rsidRDefault="002073F9" w:rsidP="002073F9">
      <w:pPr>
        <w:pStyle w:val="ListParagraph"/>
        <w:numPr>
          <w:ilvl w:val="0"/>
          <w:numId w:val="13"/>
        </w:numPr>
        <w:spacing w:line="276" w:lineRule="auto"/>
        <w:rPr>
          <w:rFonts w:cs="Times New Roman"/>
          <w:szCs w:val="24"/>
        </w:rPr>
      </w:pPr>
      <w:r>
        <w:rPr>
          <w:rFonts w:eastAsia="Times New Roman" w:cs="Times New Roman"/>
          <w:szCs w:val="24"/>
          <w:lang w:eastAsia="en-AU"/>
        </w:rPr>
        <w:t>Provision of educational programs for the legal profession, the judiciary, magistrates and coroners about elder abuse and its prevalence;</w:t>
      </w:r>
      <w:r>
        <w:rPr>
          <w:rStyle w:val="FootnoteReference"/>
          <w:rFonts w:eastAsia="Times New Roman" w:cs="Times New Roman"/>
          <w:szCs w:val="24"/>
          <w:lang w:eastAsia="en-AU"/>
        </w:rPr>
        <w:footnoteReference w:id="27"/>
      </w:r>
    </w:p>
    <w:p w14:paraId="7CB50CD3" w14:textId="77777777" w:rsidR="002073F9" w:rsidRDefault="002073F9" w:rsidP="002073F9">
      <w:pPr>
        <w:pStyle w:val="ListParagraph"/>
        <w:numPr>
          <w:ilvl w:val="0"/>
          <w:numId w:val="13"/>
        </w:numPr>
        <w:spacing w:line="276" w:lineRule="auto"/>
        <w:rPr>
          <w:rFonts w:cs="Times New Roman"/>
          <w:szCs w:val="24"/>
        </w:rPr>
      </w:pPr>
      <w:r>
        <w:rPr>
          <w:rFonts w:eastAsia="Times New Roman" w:cs="Times New Roman"/>
          <w:szCs w:val="24"/>
          <w:lang w:eastAsia="en-AU"/>
        </w:rPr>
        <w:lastRenderedPageBreak/>
        <w:t>Development of multidisciplinary teams – social workers and/or lawyers</w:t>
      </w:r>
      <w:r>
        <w:rPr>
          <w:rStyle w:val="FootnoteReference"/>
          <w:rFonts w:eastAsia="Times New Roman" w:cs="Times New Roman"/>
          <w:szCs w:val="24"/>
          <w:lang w:eastAsia="en-AU"/>
        </w:rPr>
        <w:footnoteReference w:id="28"/>
      </w:r>
      <w:r>
        <w:rPr>
          <w:rFonts w:eastAsia="Times New Roman" w:cs="Times New Roman"/>
          <w:szCs w:val="24"/>
          <w:lang w:eastAsia="en-AU"/>
        </w:rPr>
        <w:t xml:space="preserve"> to investigate matters of elder abuse as an adjunct to police investigation;</w:t>
      </w:r>
      <w:r>
        <w:rPr>
          <w:rStyle w:val="FootnoteReference"/>
          <w:rFonts w:eastAsia="Times New Roman" w:cs="Times New Roman"/>
          <w:szCs w:val="24"/>
          <w:lang w:eastAsia="en-AU"/>
        </w:rPr>
        <w:footnoteReference w:id="29"/>
      </w:r>
    </w:p>
    <w:p w14:paraId="48B9F72F" w14:textId="77777777" w:rsidR="002073F9" w:rsidRDefault="002073F9" w:rsidP="002073F9">
      <w:pPr>
        <w:pStyle w:val="ListParagraph"/>
        <w:numPr>
          <w:ilvl w:val="0"/>
          <w:numId w:val="13"/>
        </w:numPr>
        <w:spacing w:line="276" w:lineRule="auto"/>
        <w:rPr>
          <w:rFonts w:cs="Times New Roman"/>
          <w:szCs w:val="24"/>
        </w:rPr>
      </w:pPr>
      <w:r>
        <w:rPr>
          <w:rFonts w:cs="Times New Roman"/>
          <w:szCs w:val="24"/>
        </w:rPr>
        <w:t>Reform of privacy laws;</w:t>
      </w:r>
      <w:r>
        <w:rPr>
          <w:rStyle w:val="FootnoteReference"/>
          <w:rFonts w:cs="Times New Roman"/>
          <w:szCs w:val="24"/>
        </w:rPr>
        <w:footnoteReference w:id="30"/>
      </w:r>
    </w:p>
    <w:p w14:paraId="214C9BB8" w14:textId="77777777" w:rsidR="002073F9" w:rsidRDefault="002073F9" w:rsidP="002073F9">
      <w:pPr>
        <w:pStyle w:val="ListParagraph"/>
        <w:numPr>
          <w:ilvl w:val="0"/>
          <w:numId w:val="13"/>
        </w:numPr>
        <w:spacing w:line="276" w:lineRule="auto"/>
        <w:rPr>
          <w:rFonts w:cs="Times New Roman"/>
          <w:szCs w:val="24"/>
        </w:rPr>
      </w:pPr>
      <w:r>
        <w:rPr>
          <w:rFonts w:cs="Times New Roman"/>
          <w:szCs w:val="24"/>
        </w:rPr>
        <w:t xml:space="preserve">Review the criminal law (it is </w:t>
      </w:r>
      <w:r>
        <w:rPr>
          <w:rFonts w:eastAsia="Times New Roman" w:cs="Times New Roman"/>
          <w:szCs w:val="24"/>
          <w:lang w:eastAsia="en-AU"/>
        </w:rPr>
        <w:t>not currently well tailored to deal with elder abuse and it is not being implemented effectively by police and prosecutors.</w:t>
      </w:r>
      <w:r>
        <w:rPr>
          <w:rStyle w:val="FootnoteReference"/>
          <w:rFonts w:eastAsia="Times New Roman" w:cs="Times New Roman"/>
          <w:szCs w:val="24"/>
          <w:lang w:eastAsia="en-AU"/>
        </w:rPr>
        <w:footnoteReference w:id="31"/>
      </w:r>
      <w:r>
        <w:rPr>
          <w:rFonts w:eastAsia="Times New Roman" w:cs="Times New Roman"/>
          <w:szCs w:val="24"/>
          <w:lang w:eastAsia="en-AU"/>
        </w:rPr>
        <w:t xml:space="preserve"> Criminal legislation should be nuanced and recognise the complexity of elder abuse.</w:t>
      </w:r>
      <w:r>
        <w:rPr>
          <w:rStyle w:val="FootnoteReference"/>
          <w:rFonts w:eastAsia="Times New Roman" w:cs="Times New Roman"/>
          <w:szCs w:val="24"/>
          <w:lang w:eastAsia="en-AU"/>
        </w:rPr>
        <w:footnoteReference w:id="32"/>
      </w:r>
      <w:r>
        <w:rPr>
          <w:rFonts w:eastAsia="Times New Roman" w:cs="Times New Roman"/>
          <w:szCs w:val="24"/>
          <w:lang w:eastAsia="en-AU"/>
        </w:rPr>
        <w:t xml:space="preserve"> In any event a specific offence of elder abuse should be created;</w:t>
      </w:r>
      <w:r>
        <w:rPr>
          <w:rStyle w:val="FootnoteReference"/>
          <w:rFonts w:cs="Times New Roman"/>
          <w:bCs/>
          <w:szCs w:val="24"/>
        </w:rPr>
        <w:t xml:space="preserve"> </w:t>
      </w:r>
      <w:r>
        <w:rPr>
          <w:rStyle w:val="FootnoteReference"/>
          <w:rFonts w:cs="Times New Roman"/>
          <w:bCs/>
          <w:szCs w:val="24"/>
        </w:rPr>
        <w:footnoteReference w:id="33"/>
      </w:r>
    </w:p>
    <w:p w14:paraId="12FEACED" w14:textId="77777777" w:rsidR="002073F9" w:rsidRDefault="002073F9" w:rsidP="002073F9">
      <w:pPr>
        <w:pStyle w:val="ListParagraph"/>
        <w:numPr>
          <w:ilvl w:val="0"/>
          <w:numId w:val="13"/>
        </w:numPr>
        <w:spacing w:line="276" w:lineRule="auto"/>
        <w:rPr>
          <w:rFonts w:cs="Times New Roman"/>
          <w:szCs w:val="24"/>
        </w:rPr>
      </w:pPr>
      <w:r>
        <w:rPr>
          <w:rFonts w:eastAsia="Times New Roman" w:cs="Times New Roman"/>
          <w:szCs w:val="24"/>
          <w:lang w:eastAsia="en-AU"/>
        </w:rPr>
        <w:t xml:space="preserve">Implementation of mandatory reporting requirements; </w:t>
      </w:r>
    </w:p>
    <w:p w14:paraId="4F3CB3B9" w14:textId="77777777" w:rsidR="002073F9" w:rsidRDefault="002073F9" w:rsidP="002073F9">
      <w:pPr>
        <w:pStyle w:val="ListParagraph"/>
        <w:numPr>
          <w:ilvl w:val="0"/>
          <w:numId w:val="13"/>
        </w:numPr>
        <w:spacing w:line="276" w:lineRule="auto"/>
        <w:rPr>
          <w:rFonts w:cs="Times New Roman"/>
          <w:szCs w:val="24"/>
        </w:rPr>
      </w:pPr>
      <w:r>
        <w:rPr>
          <w:rFonts w:eastAsia="Times New Roman" w:cs="Times New Roman"/>
          <w:szCs w:val="24"/>
          <w:lang w:eastAsia="en-AU"/>
        </w:rPr>
        <w:t>Enactment of legal protection for people reporting elder abuse cases;</w:t>
      </w:r>
      <w:r>
        <w:rPr>
          <w:rStyle w:val="FootnoteReference"/>
          <w:rFonts w:eastAsia="Times New Roman" w:cs="Times New Roman"/>
          <w:szCs w:val="24"/>
          <w:lang w:eastAsia="en-AU"/>
        </w:rPr>
        <w:footnoteReference w:id="34"/>
      </w:r>
    </w:p>
    <w:p w14:paraId="66C79FD0" w14:textId="77777777" w:rsidR="002073F9" w:rsidRDefault="002073F9" w:rsidP="002073F9">
      <w:pPr>
        <w:pStyle w:val="ListParagraph"/>
        <w:numPr>
          <w:ilvl w:val="0"/>
          <w:numId w:val="13"/>
        </w:numPr>
        <w:spacing w:line="276" w:lineRule="auto"/>
        <w:rPr>
          <w:rFonts w:cs="Times New Roman"/>
          <w:szCs w:val="24"/>
        </w:rPr>
      </w:pPr>
      <w:r>
        <w:rPr>
          <w:rFonts w:eastAsia="Times New Roman" w:cs="Times New Roman"/>
          <w:szCs w:val="24"/>
          <w:lang w:eastAsia="en-AU"/>
        </w:rPr>
        <w:t>Enactment of Tasmanian Human Rights legislation;</w:t>
      </w:r>
      <w:r>
        <w:rPr>
          <w:rStyle w:val="FootnoteReference"/>
          <w:rFonts w:eastAsia="Times New Roman" w:cs="Times New Roman"/>
          <w:szCs w:val="24"/>
          <w:lang w:eastAsia="en-AU"/>
        </w:rPr>
        <w:footnoteReference w:id="35"/>
      </w:r>
    </w:p>
    <w:p w14:paraId="134AE614" w14:textId="18F6AD18" w:rsidR="002073F9" w:rsidRPr="0021023D" w:rsidRDefault="002073F9" w:rsidP="002073F9">
      <w:pPr>
        <w:pStyle w:val="ListParagraph"/>
        <w:numPr>
          <w:ilvl w:val="0"/>
          <w:numId w:val="13"/>
        </w:numPr>
        <w:spacing w:before="100" w:beforeAutospacing="1" w:after="100" w:afterAutospacing="1" w:line="276" w:lineRule="auto"/>
        <w:rPr>
          <w:rFonts w:eastAsia="Times New Roman" w:cs="Times New Roman"/>
          <w:szCs w:val="24"/>
          <w:lang w:eastAsia="en-AU"/>
        </w:rPr>
      </w:pPr>
      <w:r>
        <w:rPr>
          <w:rFonts w:eastAsia="Times New Roman" w:cs="Times New Roman"/>
          <w:bCs/>
          <w:iCs/>
          <w:szCs w:val="24"/>
          <w:lang w:eastAsia="en-AU"/>
        </w:rPr>
        <w:t>Encourage support for an International Convention to protect the rights of older people.</w:t>
      </w:r>
      <w:r>
        <w:rPr>
          <w:rStyle w:val="FootnoteReference"/>
          <w:rFonts w:eastAsia="Times New Roman" w:cs="Times New Roman"/>
          <w:bCs/>
          <w:iCs/>
          <w:szCs w:val="24"/>
          <w:lang w:eastAsia="en-AU"/>
        </w:rPr>
        <w:footnoteReference w:id="36"/>
      </w:r>
    </w:p>
    <w:p w14:paraId="4A5B2E56" w14:textId="22721940" w:rsidR="0021023D" w:rsidRDefault="0021023D" w:rsidP="0021023D">
      <w:pPr>
        <w:spacing w:before="100" w:beforeAutospacing="1" w:after="100" w:afterAutospacing="1" w:line="276" w:lineRule="auto"/>
        <w:rPr>
          <w:rFonts w:eastAsia="Times New Roman" w:cs="Times New Roman"/>
          <w:szCs w:val="24"/>
          <w:lang w:eastAsia="en-AU"/>
        </w:rPr>
      </w:pPr>
    </w:p>
    <w:p w14:paraId="0E3F808C" w14:textId="35333B99" w:rsidR="0021023D" w:rsidRDefault="0021023D" w:rsidP="0021023D">
      <w:pPr>
        <w:spacing w:before="100" w:beforeAutospacing="1" w:after="100" w:afterAutospacing="1" w:line="276" w:lineRule="auto"/>
        <w:rPr>
          <w:rFonts w:eastAsia="Times New Roman" w:cs="Times New Roman"/>
          <w:szCs w:val="24"/>
          <w:lang w:eastAsia="en-AU"/>
        </w:rPr>
      </w:pPr>
    </w:p>
    <w:p w14:paraId="09823407" w14:textId="6312A30B" w:rsidR="0021023D" w:rsidRDefault="0021023D" w:rsidP="0021023D">
      <w:pPr>
        <w:spacing w:before="100" w:beforeAutospacing="1" w:after="100" w:afterAutospacing="1" w:line="276" w:lineRule="auto"/>
        <w:rPr>
          <w:rFonts w:eastAsia="Times New Roman" w:cs="Times New Roman"/>
          <w:szCs w:val="24"/>
          <w:lang w:eastAsia="en-AU"/>
        </w:rPr>
      </w:pPr>
    </w:p>
    <w:p w14:paraId="5D05C72B" w14:textId="77777777" w:rsidR="0021023D" w:rsidRPr="0021023D" w:rsidRDefault="0021023D" w:rsidP="0021023D">
      <w:pPr>
        <w:spacing w:before="100" w:beforeAutospacing="1" w:after="100" w:afterAutospacing="1" w:line="276" w:lineRule="auto"/>
        <w:rPr>
          <w:rFonts w:eastAsia="Times New Roman" w:cs="Times New Roman"/>
          <w:szCs w:val="24"/>
          <w:lang w:eastAsia="en-AU"/>
        </w:rPr>
      </w:pPr>
    </w:p>
    <w:p w14:paraId="3B6935E1" w14:textId="6994C0AF" w:rsidR="008E1869" w:rsidRDefault="00B108C4" w:rsidP="00606C14">
      <w:pPr>
        <w:pStyle w:val="Heading1"/>
        <w:rPr>
          <w:lang w:val="en-US"/>
        </w:rPr>
      </w:pPr>
      <w:r>
        <w:rPr>
          <w:lang w:val="en-US"/>
        </w:rPr>
        <w:lastRenderedPageBreak/>
        <w:t xml:space="preserve">Q5. </w:t>
      </w:r>
      <w:r w:rsidR="008E1869">
        <w:rPr>
          <w:lang w:val="en-US"/>
        </w:rPr>
        <w:t xml:space="preserve">How, systematically, and at what points, could intervention have reasonably occurred to protect and assist </w:t>
      </w:r>
      <w:proofErr w:type="spellStart"/>
      <w:r w:rsidR="008E1869">
        <w:rPr>
          <w:lang w:val="en-US"/>
        </w:rPr>
        <w:t>Mrs</w:t>
      </w:r>
      <w:proofErr w:type="spellEnd"/>
      <w:r w:rsidR="008E1869">
        <w:rPr>
          <w:lang w:val="en-US"/>
        </w:rPr>
        <w:t xml:space="preserve"> </w:t>
      </w:r>
      <w:proofErr w:type="spellStart"/>
      <w:r w:rsidR="008E1869">
        <w:rPr>
          <w:lang w:val="en-US"/>
        </w:rPr>
        <w:t>Mackozdi</w:t>
      </w:r>
      <w:proofErr w:type="spellEnd"/>
      <w:r w:rsidR="00E55F08">
        <w:rPr>
          <w:lang w:val="en-US"/>
        </w:rPr>
        <w:t xml:space="preserve"> (MM)</w:t>
      </w:r>
      <w:r w:rsidR="008E1869">
        <w:rPr>
          <w:lang w:val="en-US"/>
        </w:rPr>
        <w:t>?</w:t>
      </w:r>
    </w:p>
    <w:p w14:paraId="3E24ADE8" w14:textId="77777777" w:rsidR="008E1869" w:rsidRDefault="008E1869" w:rsidP="001641CD">
      <w:pPr>
        <w:pStyle w:val="Heading2"/>
        <w:rPr>
          <w:lang w:val="en-US"/>
        </w:rPr>
      </w:pPr>
      <w:r>
        <w:rPr>
          <w:lang w:val="en-US"/>
        </w:rPr>
        <w:t>Developing an algorithm</w:t>
      </w:r>
    </w:p>
    <w:tbl>
      <w:tblPr>
        <w:tblStyle w:val="PlainTable5"/>
        <w:tblW w:w="0" w:type="auto"/>
        <w:tblLook w:val="04A0" w:firstRow="1" w:lastRow="0" w:firstColumn="1" w:lastColumn="0" w:noHBand="0" w:noVBand="1"/>
      </w:tblPr>
      <w:tblGrid>
        <w:gridCol w:w="1470"/>
        <w:gridCol w:w="2039"/>
        <w:gridCol w:w="2093"/>
        <w:gridCol w:w="1299"/>
        <w:gridCol w:w="2459"/>
      </w:tblGrid>
      <w:tr w:rsidR="00C11853" w:rsidRPr="00906651" w14:paraId="3F930D1F" w14:textId="77777777" w:rsidTr="009066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14:paraId="203081EA" w14:textId="77777777"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t>Date</w:t>
            </w:r>
          </w:p>
        </w:tc>
        <w:tc>
          <w:tcPr>
            <w:tcW w:w="0" w:type="auto"/>
          </w:tcPr>
          <w:p w14:paraId="7FF49F4F" w14:textId="77777777" w:rsidR="008E1869" w:rsidRPr="005A2C26" w:rsidRDefault="008E1869" w:rsidP="005A2C26">
            <w:pPr>
              <w:spacing w:before="40" w:after="4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MM’s movements</w:t>
            </w:r>
          </w:p>
        </w:tc>
        <w:tc>
          <w:tcPr>
            <w:tcW w:w="0" w:type="auto"/>
          </w:tcPr>
          <w:p w14:paraId="66908778" w14:textId="77777777" w:rsidR="008E1869" w:rsidRPr="005A2C26" w:rsidRDefault="008E1869" w:rsidP="005A2C26">
            <w:pPr>
              <w:spacing w:before="40" w:after="4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Diagnoses, etc.</w:t>
            </w:r>
          </w:p>
        </w:tc>
        <w:tc>
          <w:tcPr>
            <w:tcW w:w="0" w:type="auto"/>
          </w:tcPr>
          <w:p w14:paraId="51A9E47A" w14:textId="77777777" w:rsidR="008E1869" w:rsidRPr="005A2C26" w:rsidRDefault="008E1869" w:rsidP="005A2C26">
            <w:pPr>
              <w:spacing w:before="40" w:after="4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Money</w:t>
            </w:r>
          </w:p>
        </w:tc>
        <w:tc>
          <w:tcPr>
            <w:tcW w:w="0" w:type="auto"/>
          </w:tcPr>
          <w:p w14:paraId="7DAF0D02" w14:textId="77777777" w:rsidR="008E1869" w:rsidRPr="005A2C26" w:rsidRDefault="008E1869" w:rsidP="005A2C26">
            <w:pPr>
              <w:spacing w:before="40" w:after="4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Flags?</w:t>
            </w:r>
          </w:p>
        </w:tc>
      </w:tr>
      <w:tr w:rsidR="00C11853" w:rsidRPr="00906651" w14:paraId="02D44E3A" w14:textId="77777777" w:rsidTr="00906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76B40CC" w14:textId="77777777"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t>Mid- to late-2007</w:t>
            </w:r>
          </w:p>
        </w:tc>
        <w:tc>
          <w:tcPr>
            <w:tcW w:w="0" w:type="auto"/>
          </w:tcPr>
          <w:p w14:paraId="38A1801E"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MM sells Sydney house. Gives daughter $50,000</w:t>
            </w:r>
          </w:p>
        </w:tc>
        <w:tc>
          <w:tcPr>
            <w:tcW w:w="0" w:type="auto"/>
          </w:tcPr>
          <w:p w14:paraId="26BCC69B"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 xml:space="preserve">Long-term financial planner concerned that </w:t>
            </w:r>
            <w:proofErr w:type="spellStart"/>
            <w:r w:rsidRPr="005A2C26">
              <w:rPr>
                <w:rFonts w:asciiTheme="minorHAnsi" w:hAnsiTheme="minorHAnsi"/>
                <w:sz w:val="20"/>
                <w:szCs w:val="20"/>
                <w:lang w:val="en-US"/>
              </w:rPr>
              <w:t>Mrs</w:t>
            </w:r>
            <w:proofErr w:type="spellEnd"/>
            <w:r w:rsidRPr="005A2C26">
              <w:rPr>
                <w:rFonts w:asciiTheme="minorHAnsi" w:hAnsiTheme="minorHAnsi"/>
                <w:sz w:val="20"/>
                <w:szCs w:val="20"/>
                <w:lang w:val="en-US"/>
              </w:rPr>
              <w:t xml:space="preserve"> </w:t>
            </w:r>
            <w:proofErr w:type="spellStart"/>
            <w:r w:rsidRPr="005A2C26">
              <w:rPr>
                <w:rFonts w:asciiTheme="minorHAnsi" w:hAnsiTheme="minorHAnsi"/>
                <w:sz w:val="20"/>
                <w:szCs w:val="20"/>
                <w:lang w:val="en-US"/>
              </w:rPr>
              <w:t>Mackozdi</w:t>
            </w:r>
            <w:proofErr w:type="spellEnd"/>
            <w:r w:rsidRPr="005A2C26">
              <w:rPr>
                <w:rFonts w:asciiTheme="minorHAnsi" w:hAnsiTheme="minorHAnsi"/>
                <w:sz w:val="20"/>
                <w:szCs w:val="20"/>
                <w:lang w:val="en-US"/>
              </w:rPr>
              <w:t xml:space="preserve"> (MM) is confused</w:t>
            </w:r>
          </w:p>
        </w:tc>
        <w:tc>
          <w:tcPr>
            <w:tcW w:w="0" w:type="auto"/>
          </w:tcPr>
          <w:p w14:paraId="331BFBA1"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c>
          <w:tcPr>
            <w:tcW w:w="0" w:type="auto"/>
          </w:tcPr>
          <w:p w14:paraId="539128BA"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 xml:space="preserve">Planner could alert … whom? Do they have a code of ethics? </w:t>
            </w:r>
            <w:r w:rsidRPr="005A2C26">
              <w:rPr>
                <w:rFonts w:asciiTheme="minorHAnsi" w:hAnsiTheme="minorHAnsi"/>
                <w:color w:val="C0504D" w:themeColor="accent2"/>
                <w:sz w:val="20"/>
                <w:szCs w:val="20"/>
                <w:lang w:val="en-US"/>
              </w:rPr>
              <w:t>Amber flag</w:t>
            </w:r>
          </w:p>
        </w:tc>
      </w:tr>
      <w:tr w:rsidR="00C11853" w:rsidRPr="00906651" w14:paraId="3AA0442A" w14:textId="77777777" w:rsidTr="00906651">
        <w:tc>
          <w:tcPr>
            <w:cnfStyle w:val="001000000000" w:firstRow="0" w:lastRow="0" w:firstColumn="1" w:lastColumn="0" w:oddVBand="0" w:evenVBand="0" w:oddHBand="0" w:evenHBand="0" w:firstRowFirstColumn="0" w:firstRowLastColumn="0" w:lastRowFirstColumn="0" w:lastRowLastColumn="0"/>
            <w:tcW w:w="0" w:type="auto"/>
          </w:tcPr>
          <w:p w14:paraId="25C9B4B4" w14:textId="77777777"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t>October 2007</w:t>
            </w:r>
          </w:p>
        </w:tc>
        <w:tc>
          <w:tcPr>
            <w:tcW w:w="0" w:type="auto"/>
          </w:tcPr>
          <w:p w14:paraId="4626289F"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MM arrives in Tasmania</w:t>
            </w:r>
          </w:p>
        </w:tc>
        <w:tc>
          <w:tcPr>
            <w:tcW w:w="0" w:type="auto"/>
          </w:tcPr>
          <w:p w14:paraId="40F13454"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p>
        </w:tc>
        <w:tc>
          <w:tcPr>
            <w:tcW w:w="0" w:type="auto"/>
          </w:tcPr>
          <w:p w14:paraId="007148D2"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p>
        </w:tc>
        <w:tc>
          <w:tcPr>
            <w:tcW w:w="0" w:type="auto"/>
          </w:tcPr>
          <w:p w14:paraId="15034CA6"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p>
        </w:tc>
      </w:tr>
      <w:tr w:rsidR="00C11853" w:rsidRPr="00906651" w14:paraId="6B3F263E" w14:textId="77777777" w:rsidTr="00906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63C5A7" w14:textId="77777777"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t>November 2007</w:t>
            </w:r>
          </w:p>
        </w:tc>
        <w:tc>
          <w:tcPr>
            <w:tcW w:w="0" w:type="auto"/>
          </w:tcPr>
          <w:p w14:paraId="5BA27746"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MM buys unit in New Norfolk outright</w:t>
            </w:r>
          </w:p>
        </w:tc>
        <w:tc>
          <w:tcPr>
            <w:tcW w:w="0" w:type="auto"/>
          </w:tcPr>
          <w:p w14:paraId="02C6AFF2"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c>
          <w:tcPr>
            <w:tcW w:w="0" w:type="auto"/>
          </w:tcPr>
          <w:p w14:paraId="1B587F87"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 xml:space="preserve">$202, 381.54 in one account (A) </w:t>
            </w:r>
            <w:r w:rsidRPr="005A2C26">
              <w:rPr>
                <w:rFonts w:asciiTheme="minorHAnsi" w:hAnsiTheme="minorHAnsi"/>
                <w:i/>
                <w:sz w:val="20"/>
                <w:szCs w:val="20"/>
                <w:lang w:val="en-US"/>
              </w:rPr>
              <w:t>after</w:t>
            </w:r>
            <w:r w:rsidRPr="005A2C26">
              <w:rPr>
                <w:rFonts w:asciiTheme="minorHAnsi" w:hAnsiTheme="minorHAnsi"/>
                <w:sz w:val="20"/>
                <w:szCs w:val="20"/>
                <w:lang w:val="en-US"/>
              </w:rPr>
              <w:t xml:space="preserve"> purchase</w:t>
            </w:r>
          </w:p>
        </w:tc>
        <w:tc>
          <w:tcPr>
            <w:tcW w:w="0" w:type="auto"/>
          </w:tcPr>
          <w:p w14:paraId="2D2122C2"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Real estate agent – unlikely</w:t>
            </w:r>
          </w:p>
        </w:tc>
      </w:tr>
      <w:tr w:rsidR="00C11853" w:rsidRPr="00906651" w14:paraId="5A5ADD07" w14:textId="77777777" w:rsidTr="00906651">
        <w:tc>
          <w:tcPr>
            <w:cnfStyle w:val="001000000000" w:firstRow="0" w:lastRow="0" w:firstColumn="1" w:lastColumn="0" w:oddVBand="0" w:evenVBand="0" w:oddHBand="0" w:evenHBand="0" w:firstRowFirstColumn="0" w:firstRowLastColumn="0" w:lastRowFirstColumn="0" w:lastRowLastColumn="0"/>
            <w:tcW w:w="0" w:type="auto"/>
          </w:tcPr>
          <w:p w14:paraId="70AB1A72" w14:textId="77777777"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t>4 January 2008</w:t>
            </w:r>
          </w:p>
        </w:tc>
        <w:tc>
          <w:tcPr>
            <w:tcW w:w="0" w:type="auto"/>
          </w:tcPr>
          <w:p w14:paraId="6F22866A"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MM visits GP at Brighton</w:t>
            </w:r>
          </w:p>
        </w:tc>
        <w:tc>
          <w:tcPr>
            <w:tcW w:w="0" w:type="auto"/>
          </w:tcPr>
          <w:p w14:paraId="1A8B8C38"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Daughter says MM has Alzheimer’s Disease (AD), cannot be left, is not cooking, wants to go to England and is giving away money</w:t>
            </w:r>
          </w:p>
        </w:tc>
        <w:tc>
          <w:tcPr>
            <w:tcW w:w="0" w:type="auto"/>
          </w:tcPr>
          <w:p w14:paraId="768EEF9F"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p>
        </w:tc>
        <w:tc>
          <w:tcPr>
            <w:tcW w:w="0" w:type="auto"/>
          </w:tcPr>
          <w:p w14:paraId="648B9834"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p>
        </w:tc>
      </w:tr>
      <w:tr w:rsidR="00C11853" w:rsidRPr="00906651" w14:paraId="4A6725A3" w14:textId="77777777" w:rsidTr="00906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ADE4316" w14:textId="77777777"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t>11 January 2008</w:t>
            </w:r>
          </w:p>
        </w:tc>
        <w:tc>
          <w:tcPr>
            <w:tcW w:w="0" w:type="auto"/>
          </w:tcPr>
          <w:p w14:paraId="6BC09242"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MM visits GP at Brighton</w:t>
            </w:r>
          </w:p>
        </w:tc>
        <w:tc>
          <w:tcPr>
            <w:tcW w:w="0" w:type="auto"/>
          </w:tcPr>
          <w:p w14:paraId="55B7E423"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MMSE completed (15/30)</w:t>
            </w:r>
          </w:p>
          <w:p w14:paraId="0AB7FDCA"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 xml:space="preserve">Referral to </w:t>
            </w:r>
            <w:proofErr w:type="spellStart"/>
            <w:r w:rsidRPr="005A2C26">
              <w:rPr>
                <w:rFonts w:asciiTheme="minorHAnsi" w:hAnsiTheme="minorHAnsi"/>
                <w:sz w:val="20"/>
                <w:szCs w:val="20"/>
                <w:lang w:val="en-US"/>
              </w:rPr>
              <w:t>Dunbabin</w:t>
            </w:r>
            <w:proofErr w:type="spellEnd"/>
            <w:r w:rsidRPr="005A2C26">
              <w:rPr>
                <w:rFonts w:asciiTheme="minorHAnsi" w:hAnsiTheme="minorHAnsi"/>
                <w:sz w:val="20"/>
                <w:szCs w:val="20"/>
                <w:lang w:val="en-US"/>
              </w:rPr>
              <w:t xml:space="preserve"> (despite MM’s reluctance)</w:t>
            </w:r>
          </w:p>
          <w:p w14:paraId="4F8FF783"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No further visits to this GP</w:t>
            </w:r>
          </w:p>
        </w:tc>
        <w:tc>
          <w:tcPr>
            <w:tcW w:w="0" w:type="auto"/>
          </w:tcPr>
          <w:p w14:paraId="61174138"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c>
          <w:tcPr>
            <w:tcW w:w="0" w:type="auto"/>
          </w:tcPr>
          <w:p w14:paraId="7DEB0F7E" w14:textId="5D666589"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GP – Process to check with Specialist?</w:t>
            </w:r>
            <w:r w:rsidR="00177B0C" w:rsidRPr="007D7029">
              <w:rPr>
                <w:rFonts w:asciiTheme="minorHAnsi" w:hAnsiTheme="minorHAnsi"/>
                <w:sz w:val="20"/>
                <w:szCs w:val="20"/>
                <w:lang w:val="en-US"/>
              </w:rPr>
              <w:t xml:space="preserve"> – </w:t>
            </w:r>
            <w:r w:rsidR="00177B0C" w:rsidRPr="007D7029">
              <w:rPr>
                <w:rFonts w:asciiTheme="minorHAnsi" w:hAnsiTheme="minorHAnsi"/>
                <w:color w:val="C0504D" w:themeColor="accent2"/>
                <w:sz w:val="20"/>
                <w:szCs w:val="20"/>
                <w:lang w:val="en-US"/>
              </w:rPr>
              <w:t>amber flag</w:t>
            </w:r>
          </w:p>
          <w:p w14:paraId="3DBE58F3" w14:textId="2E3A1374"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 xml:space="preserve">Invasion of privacy and dignity of risk/personal choice </w:t>
            </w:r>
          </w:p>
        </w:tc>
      </w:tr>
      <w:tr w:rsidR="00C11853" w:rsidRPr="00906651" w14:paraId="3B51690B" w14:textId="77777777" w:rsidTr="00906651">
        <w:tc>
          <w:tcPr>
            <w:cnfStyle w:val="001000000000" w:firstRow="0" w:lastRow="0" w:firstColumn="1" w:lastColumn="0" w:oddVBand="0" w:evenVBand="0" w:oddHBand="0" w:evenHBand="0" w:firstRowFirstColumn="0" w:firstRowLastColumn="0" w:lastRowFirstColumn="0" w:lastRowLastColumn="0"/>
            <w:tcW w:w="0" w:type="auto"/>
          </w:tcPr>
          <w:p w14:paraId="721BC35E" w14:textId="77777777"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t>February 2008</w:t>
            </w:r>
          </w:p>
        </w:tc>
        <w:tc>
          <w:tcPr>
            <w:tcW w:w="0" w:type="auto"/>
          </w:tcPr>
          <w:p w14:paraId="2E22CF3B"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Daughter writes to GP requesting copy of referral</w:t>
            </w:r>
          </w:p>
        </w:tc>
        <w:tc>
          <w:tcPr>
            <w:tcW w:w="0" w:type="auto"/>
          </w:tcPr>
          <w:p w14:paraId="0874DB6F"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Daughter tells GP that MM has taken offense to GP</w:t>
            </w:r>
          </w:p>
        </w:tc>
        <w:tc>
          <w:tcPr>
            <w:tcW w:w="0" w:type="auto"/>
          </w:tcPr>
          <w:p w14:paraId="0612F25E"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p>
        </w:tc>
        <w:tc>
          <w:tcPr>
            <w:tcW w:w="0" w:type="auto"/>
          </w:tcPr>
          <w:p w14:paraId="1FE8A6BD"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 xml:space="preserve">GP – </w:t>
            </w:r>
            <w:r w:rsidRPr="005A2C26">
              <w:rPr>
                <w:rFonts w:asciiTheme="minorHAnsi" w:hAnsiTheme="minorHAnsi"/>
                <w:color w:val="FF0000"/>
                <w:sz w:val="20"/>
                <w:szCs w:val="20"/>
                <w:lang w:val="en-US"/>
              </w:rPr>
              <w:t>red flag</w:t>
            </w:r>
          </w:p>
        </w:tc>
      </w:tr>
      <w:tr w:rsidR="00C11853" w:rsidRPr="00906651" w14:paraId="48ED1AC2" w14:textId="77777777" w:rsidTr="00906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D37904E" w14:textId="77777777"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t>20 June 2008</w:t>
            </w:r>
          </w:p>
        </w:tc>
        <w:tc>
          <w:tcPr>
            <w:tcW w:w="0" w:type="auto"/>
          </w:tcPr>
          <w:p w14:paraId="17A7DADA"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MM visits GP at New Norfolk</w:t>
            </w:r>
          </w:p>
        </w:tc>
        <w:tc>
          <w:tcPr>
            <w:tcW w:w="0" w:type="auto"/>
          </w:tcPr>
          <w:p w14:paraId="1D83A0DC"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GP notes serious problems, including MM claiming that daughter is taking her ‘treasures’</w:t>
            </w:r>
          </w:p>
        </w:tc>
        <w:tc>
          <w:tcPr>
            <w:tcW w:w="0" w:type="auto"/>
          </w:tcPr>
          <w:p w14:paraId="5DBECC38"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c>
          <w:tcPr>
            <w:tcW w:w="0" w:type="auto"/>
          </w:tcPr>
          <w:p w14:paraId="7BAD784D" w14:textId="3E41F9A0"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new GP</w:t>
            </w:r>
            <w:r w:rsidR="001641CD" w:rsidRPr="005A2C26">
              <w:rPr>
                <w:rFonts w:asciiTheme="minorHAnsi" w:hAnsiTheme="minorHAnsi"/>
                <w:sz w:val="20"/>
                <w:szCs w:val="20"/>
                <w:lang w:val="en-US"/>
              </w:rPr>
              <w:t xml:space="preserve"> – was there any contact between former and new GP? – should there be? </w:t>
            </w:r>
            <w:r w:rsidR="00E55F08" w:rsidRPr="005A2C26">
              <w:rPr>
                <w:rFonts w:asciiTheme="minorHAnsi" w:hAnsiTheme="minorHAnsi"/>
                <w:color w:val="C0504D" w:themeColor="accent2"/>
                <w:sz w:val="20"/>
                <w:szCs w:val="20"/>
                <w:lang w:val="en-US"/>
              </w:rPr>
              <w:t>A</w:t>
            </w:r>
            <w:r w:rsidR="001641CD" w:rsidRPr="005A2C26">
              <w:rPr>
                <w:rFonts w:asciiTheme="minorHAnsi" w:hAnsiTheme="minorHAnsi"/>
                <w:color w:val="C0504D" w:themeColor="accent2"/>
                <w:sz w:val="20"/>
                <w:szCs w:val="20"/>
                <w:lang w:val="en-US"/>
              </w:rPr>
              <w:t>mber flag</w:t>
            </w:r>
            <w:r w:rsidR="00C11853">
              <w:rPr>
                <w:rFonts w:asciiTheme="minorHAnsi" w:hAnsiTheme="minorHAnsi"/>
                <w:color w:val="C0504D" w:themeColor="accent2"/>
                <w:sz w:val="20"/>
                <w:szCs w:val="20"/>
                <w:lang w:val="en-US"/>
              </w:rPr>
              <w:t xml:space="preserve"> </w:t>
            </w:r>
            <w:r w:rsidR="00C11853" w:rsidRPr="005A2C26">
              <w:rPr>
                <w:rFonts w:asciiTheme="minorHAnsi" w:hAnsiTheme="minorHAnsi"/>
                <w:sz w:val="20"/>
                <w:szCs w:val="20"/>
                <w:lang w:val="en-US"/>
              </w:rPr>
              <w:t>–</w:t>
            </w:r>
            <w:r w:rsidR="00C11853">
              <w:rPr>
                <w:rFonts w:asciiTheme="minorHAnsi" w:hAnsiTheme="minorHAnsi"/>
                <w:color w:val="C0504D" w:themeColor="accent2"/>
                <w:sz w:val="20"/>
                <w:szCs w:val="20"/>
                <w:lang w:val="en-US"/>
              </w:rPr>
              <w:t xml:space="preserve"> </w:t>
            </w:r>
            <w:r w:rsidR="00E55F08" w:rsidRPr="005A2C26">
              <w:rPr>
                <w:rFonts w:asciiTheme="minorHAnsi" w:hAnsiTheme="minorHAnsi"/>
                <w:sz w:val="20"/>
                <w:szCs w:val="20"/>
                <w:lang w:val="en-US"/>
              </w:rPr>
              <w:t>note:</w:t>
            </w:r>
            <w:r w:rsidR="00C11853" w:rsidRPr="005A2C26">
              <w:rPr>
                <w:rFonts w:asciiTheme="minorHAnsi" w:hAnsiTheme="minorHAnsi"/>
                <w:sz w:val="20"/>
                <w:szCs w:val="20"/>
                <w:lang w:val="en-US"/>
              </w:rPr>
              <w:t xml:space="preserve"> claims of taking treasures are very common amongst people with dementia and this is unlikely to raise a lot of concern</w:t>
            </w:r>
          </w:p>
        </w:tc>
      </w:tr>
      <w:tr w:rsidR="00C11853" w:rsidRPr="00906651" w14:paraId="7B1A9F58" w14:textId="77777777" w:rsidTr="00906651">
        <w:tc>
          <w:tcPr>
            <w:cnfStyle w:val="001000000000" w:firstRow="0" w:lastRow="0" w:firstColumn="1" w:lastColumn="0" w:oddVBand="0" w:evenVBand="0" w:oddHBand="0" w:evenHBand="0" w:firstRowFirstColumn="0" w:firstRowLastColumn="0" w:lastRowFirstColumn="0" w:lastRowLastColumn="0"/>
            <w:tcW w:w="0" w:type="auto"/>
          </w:tcPr>
          <w:p w14:paraId="4B2856D3" w14:textId="77777777"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t>18 March 2009</w:t>
            </w:r>
          </w:p>
        </w:tc>
        <w:tc>
          <w:tcPr>
            <w:tcW w:w="0" w:type="auto"/>
          </w:tcPr>
          <w:p w14:paraId="6597A807"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MM transfers title of New Norfolk unit to daughter</w:t>
            </w:r>
          </w:p>
        </w:tc>
        <w:tc>
          <w:tcPr>
            <w:tcW w:w="0" w:type="auto"/>
          </w:tcPr>
          <w:p w14:paraId="06160A69"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p>
        </w:tc>
        <w:tc>
          <w:tcPr>
            <w:tcW w:w="0" w:type="auto"/>
          </w:tcPr>
          <w:p w14:paraId="169A06E9"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p>
        </w:tc>
        <w:tc>
          <w:tcPr>
            <w:tcW w:w="0" w:type="auto"/>
          </w:tcPr>
          <w:p w14:paraId="2E07C4EE"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 xml:space="preserve">Legal secretary says MM is of sound mind – </w:t>
            </w:r>
            <w:r w:rsidRPr="005A2C26">
              <w:rPr>
                <w:rFonts w:asciiTheme="minorHAnsi" w:hAnsiTheme="minorHAnsi"/>
                <w:color w:val="FF0000"/>
                <w:sz w:val="20"/>
                <w:szCs w:val="20"/>
                <w:lang w:val="en-US"/>
              </w:rPr>
              <w:t>red flag</w:t>
            </w:r>
          </w:p>
        </w:tc>
      </w:tr>
      <w:tr w:rsidR="00C11853" w:rsidRPr="00906651" w14:paraId="5283623C" w14:textId="77777777" w:rsidTr="00906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75FFEB6" w14:textId="77777777"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lastRenderedPageBreak/>
              <w:t>25 June 2009</w:t>
            </w:r>
          </w:p>
        </w:tc>
        <w:tc>
          <w:tcPr>
            <w:tcW w:w="0" w:type="auto"/>
            <w:vMerge w:val="restart"/>
          </w:tcPr>
          <w:p w14:paraId="48BB5CD1"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 xml:space="preserve">MM falls, alerts </w:t>
            </w:r>
            <w:proofErr w:type="spellStart"/>
            <w:r w:rsidRPr="005A2C26">
              <w:rPr>
                <w:rFonts w:asciiTheme="minorHAnsi" w:hAnsiTheme="minorHAnsi"/>
                <w:sz w:val="20"/>
                <w:szCs w:val="20"/>
                <w:lang w:val="en-US"/>
              </w:rPr>
              <w:t>neighbour</w:t>
            </w:r>
            <w:proofErr w:type="spellEnd"/>
            <w:r w:rsidRPr="005A2C26">
              <w:rPr>
                <w:rFonts w:asciiTheme="minorHAnsi" w:hAnsiTheme="minorHAnsi"/>
                <w:sz w:val="20"/>
                <w:szCs w:val="20"/>
                <w:lang w:val="en-US"/>
              </w:rPr>
              <w:t>, and is admitted to RHH</w:t>
            </w:r>
          </w:p>
        </w:tc>
        <w:tc>
          <w:tcPr>
            <w:tcW w:w="0" w:type="auto"/>
          </w:tcPr>
          <w:p w14:paraId="56E48974"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Medical assessment: Fracture C2; underweight and mod to severe muscle and fat mass depletion;</w:t>
            </w:r>
            <w:r w:rsidRPr="005A2C26">
              <w:rPr>
                <w:rStyle w:val="FootnoteReference"/>
                <w:rFonts w:asciiTheme="minorHAnsi" w:hAnsiTheme="minorHAnsi"/>
                <w:sz w:val="20"/>
                <w:szCs w:val="20"/>
                <w:lang w:val="en-US"/>
              </w:rPr>
              <w:footnoteReference w:id="37"/>
            </w:r>
            <w:r w:rsidRPr="005A2C26">
              <w:rPr>
                <w:rFonts w:asciiTheme="minorHAnsi" w:hAnsiTheme="minorHAnsi"/>
                <w:sz w:val="20"/>
                <w:szCs w:val="20"/>
                <w:lang w:val="en-US"/>
              </w:rPr>
              <w:t xml:space="preserve"> dementia and delirium</w:t>
            </w:r>
          </w:p>
        </w:tc>
        <w:tc>
          <w:tcPr>
            <w:tcW w:w="0" w:type="auto"/>
          </w:tcPr>
          <w:p w14:paraId="187A0494"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c>
          <w:tcPr>
            <w:tcW w:w="0" w:type="auto"/>
          </w:tcPr>
          <w:p w14:paraId="1C0E68A6"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roofErr w:type="spellStart"/>
            <w:r w:rsidRPr="005A2C26">
              <w:rPr>
                <w:rFonts w:asciiTheme="minorHAnsi" w:hAnsiTheme="minorHAnsi"/>
                <w:sz w:val="20"/>
                <w:szCs w:val="20"/>
                <w:lang w:val="en-US"/>
              </w:rPr>
              <w:t>Neighbour</w:t>
            </w:r>
            <w:proofErr w:type="spellEnd"/>
          </w:p>
          <w:p w14:paraId="6FD17BB3"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RHH specialists/staff</w:t>
            </w:r>
          </w:p>
        </w:tc>
      </w:tr>
      <w:tr w:rsidR="00C11853" w:rsidRPr="00906651" w14:paraId="1144A315" w14:textId="77777777" w:rsidTr="00906651">
        <w:tc>
          <w:tcPr>
            <w:cnfStyle w:val="001000000000" w:firstRow="0" w:lastRow="0" w:firstColumn="1" w:lastColumn="0" w:oddVBand="0" w:evenVBand="0" w:oddHBand="0" w:evenHBand="0" w:firstRowFirstColumn="0" w:firstRowLastColumn="0" w:lastRowFirstColumn="0" w:lastRowLastColumn="0"/>
            <w:tcW w:w="0" w:type="auto"/>
          </w:tcPr>
          <w:p w14:paraId="155C7A55" w14:textId="77777777"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t>3 July 2009</w:t>
            </w:r>
          </w:p>
        </w:tc>
        <w:tc>
          <w:tcPr>
            <w:tcW w:w="0" w:type="auto"/>
            <w:vMerge/>
          </w:tcPr>
          <w:p w14:paraId="17CDBCE3"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p>
        </w:tc>
        <w:tc>
          <w:tcPr>
            <w:tcW w:w="0" w:type="auto"/>
          </w:tcPr>
          <w:p w14:paraId="45B0234E" w14:textId="029460B3"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ACAT assessment: MM lacks capacity to sign;</w:t>
            </w:r>
            <w:r w:rsidR="00E55F08">
              <w:rPr>
                <w:rFonts w:asciiTheme="minorHAnsi" w:hAnsiTheme="minorHAnsi"/>
                <w:sz w:val="20"/>
                <w:szCs w:val="20"/>
                <w:lang w:val="en-US"/>
              </w:rPr>
              <w:t xml:space="preserve"> </w:t>
            </w:r>
            <w:r w:rsidRPr="005A2C26">
              <w:rPr>
                <w:rFonts w:asciiTheme="minorHAnsi" w:hAnsiTheme="minorHAnsi"/>
                <w:sz w:val="20"/>
                <w:szCs w:val="20"/>
                <w:lang w:val="en-US"/>
              </w:rPr>
              <w:t>score on MMSE = 15/30; MM needs residential high-care</w:t>
            </w:r>
          </w:p>
        </w:tc>
        <w:tc>
          <w:tcPr>
            <w:tcW w:w="0" w:type="auto"/>
          </w:tcPr>
          <w:p w14:paraId="11474094"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p>
        </w:tc>
        <w:tc>
          <w:tcPr>
            <w:tcW w:w="0" w:type="auto"/>
          </w:tcPr>
          <w:p w14:paraId="75852E0D" w14:textId="46A9B1A5"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 xml:space="preserve">ACAT – </w:t>
            </w:r>
            <w:r w:rsidRPr="005A2C26">
              <w:rPr>
                <w:rFonts w:asciiTheme="minorHAnsi" w:hAnsiTheme="minorHAnsi"/>
                <w:color w:val="FF0000"/>
                <w:sz w:val="20"/>
                <w:szCs w:val="20"/>
                <w:lang w:val="en-US"/>
              </w:rPr>
              <w:t>red flag</w:t>
            </w:r>
            <w:r w:rsidRPr="005A2C26">
              <w:rPr>
                <w:rFonts w:asciiTheme="minorHAnsi" w:hAnsiTheme="minorHAnsi"/>
                <w:sz w:val="20"/>
                <w:szCs w:val="20"/>
                <w:lang w:val="en-US"/>
              </w:rPr>
              <w:t xml:space="preserve">: why </w:t>
            </w:r>
            <w:r w:rsidR="00E55F08">
              <w:rPr>
                <w:rFonts w:asciiTheme="minorHAnsi" w:hAnsiTheme="minorHAnsi"/>
                <w:sz w:val="20"/>
                <w:szCs w:val="20"/>
                <w:lang w:val="en-US"/>
              </w:rPr>
              <w:t xml:space="preserve">was there </w:t>
            </w:r>
            <w:r w:rsidRPr="005A2C26">
              <w:rPr>
                <w:rFonts w:asciiTheme="minorHAnsi" w:hAnsiTheme="minorHAnsi"/>
                <w:sz w:val="20"/>
                <w:szCs w:val="20"/>
                <w:lang w:val="en-US"/>
              </w:rPr>
              <w:t>no power of attorney (or equivalent) given signing problem?</w:t>
            </w:r>
          </w:p>
        </w:tc>
      </w:tr>
      <w:tr w:rsidR="00C11853" w:rsidRPr="00906651" w14:paraId="0BFCCE41" w14:textId="77777777" w:rsidTr="00906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13127EF" w14:textId="77777777" w:rsidR="008E1869" w:rsidRPr="005A2C26" w:rsidRDefault="008E1869" w:rsidP="005A2C26">
            <w:pPr>
              <w:spacing w:before="40" w:after="40" w:line="240" w:lineRule="auto"/>
              <w:rPr>
                <w:rFonts w:asciiTheme="minorHAnsi" w:hAnsiTheme="minorHAnsi"/>
                <w:sz w:val="20"/>
                <w:szCs w:val="20"/>
                <w:lang w:val="en-US"/>
              </w:rPr>
            </w:pPr>
          </w:p>
        </w:tc>
        <w:tc>
          <w:tcPr>
            <w:tcW w:w="0" w:type="auto"/>
            <w:vMerge/>
          </w:tcPr>
          <w:p w14:paraId="25D5C45B"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c>
          <w:tcPr>
            <w:tcW w:w="0" w:type="auto"/>
          </w:tcPr>
          <w:p w14:paraId="14DAAA4F"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Speech pathologist assessment: Difficulty chewing and swallowing; recommends pureed and thin liquids</w:t>
            </w:r>
          </w:p>
        </w:tc>
        <w:tc>
          <w:tcPr>
            <w:tcW w:w="0" w:type="auto"/>
          </w:tcPr>
          <w:p w14:paraId="23C4449C"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c>
          <w:tcPr>
            <w:tcW w:w="0" w:type="auto"/>
          </w:tcPr>
          <w:p w14:paraId="5042A119" w14:textId="77777777" w:rsidR="008E1869"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SP with ACAT – was there contact? Should there be?</w:t>
            </w:r>
          </w:p>
          <w:p w14:paraId="3B88D915" w14:textId="1D2A9AD1" w:rsidR="00177B0C" w:rsidRPr="005A2C26" w:rsidRDefault="00177B0C"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Pr>
                <w:rFonts w:asciiTheme="minorHAnsi" w:hAnsiTheme="minorHAnsi"/>
                <w:sz w:val="20"/>
                <w:szCs w:val="20"/>
                <w:lang w:val="en-US"/>
              </w:rPr>
              <w:t xml:space="preserve">What do RHH discharge records show? </w:t>
            </w:r>
          </w:p>
        </w:tc>
      </w:tr>
      <w:tr w:rsidR="00C11853" w:rsidRPr="00906651" w14:paraId="066B4160" w14:textId="77777777" w:rsidTr="00906651">
        <w:tc>
          <w:tcPr>
            <w:cnfStyle w:val="001000000000" w:firstRow="0" w:lastRow="0" w:firstColumn="1" w:lastColumn="0" w:oddVBand="0" w:evenVBand="0" w:oddHBand="0" w:evenHBand="0" w:firstRowFirstColumn="0" w:firstRowLastColumn="0" w:lastRowFirstColumn="0" w:lastRowLastColumn="0"/>
            <w:tcW w:w="0" w:type="auto"/>
          </w:tcPr>
          <w:p w14:paraId="7C813BFF" w14:textId="77777777"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t>9 July 2009</w:t>
            </w:r>
          </w:p>
        </w:tc>
        <w:tc>
          <w:tcPr>
            <w:tcW w:w="0" w:type="auto"/>
          </w:tcPr>
          <w:p w14:paraId="04E7A22C"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MM to Mary’s Grange (MG) for respite</w:t>
            </w:r>
          </w:p>
        </w:tc>
        <w:tc>
          <w:tcPr>
            <w:tcW w:w="0" w:type="auto"/>
          </w:tcPr>
          <w:p w14:paraId="45452144"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MM’s weight = 53.25Kg</w:t>
            </w:r>
          </w:p>
          <w:p w14:paraId="0819F8C9"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GP (</w:t>
            </w:r>
            <w:proofErr w:type="spellStart"/>
            <w:r w:rsidRPr="005A2C26">
              <w:rPr>
                <w:rFonts w:asciiTheme="minorHAnsi" w:hAnsiTheme="minorHAnsi"/>
                <w:sz w:val="20"/>
                <w:szCs w:val="20"/>
                <w:lang w:val="en-US"/>
              </w:rPr>
              <w:t>Taroona</w:t>
            </w:r>
            <w:proofErr w:type="spellEnd"/>
            <w:r w:rsidRPr="005A2C26">
              <w:rPr>
                <w:rFonts w:asciiTheme="minorHAnsi" w:hAnsiTheme="minorHAnsi"/>
                <w:sz w:val="20"/>
                <w:szCs w:val="20"/>
                <w:lang w:val="en-US"/>
              </w:rPr>
              <w:t>) notes MM is ‘very confused’</w:t>
            </w:r>
          </w:p>
        </w:tc>
        <w:tc>
          <w:tcPr>
            <w:tcW w:w="0" w:type="auto"/>
          </w:tcPr>
          <w:p w14:paraId="6769EAA5"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p>
        </w:tc>
        <w:tc>
          <w:tcPr>
            <w:tcW w:w="0" w:type="auto"/>
          </w:tcPr>
          <w:p w14:paraId="655B9B8C"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p>
        </w:tc>
      </w:tr>
      <w:tr w:rsidR="00C11853" w:rsidRPr="00906651" w14:paraId="2379B7F1" w14:textId="77777777" w:rsidTr="00906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B7A87C" w14:textId="77777777" w:rsidR="008E1869" w:rsidRPr="005A2C26" w:rsidRDefault="008E1869" w:rsidP="005A2C26">
            <w:pPr>
              <w:spacing w:before="40" w:after="40" w:line="240" w:lineRule="auto"/>
              <w:rPr>
                <w:rFonts w:asciiTheme="minorHAnsi" w:hAnsiTheme="minorHAnsi"/>
                <w:sz w:val="20"/>
                <w:szCs w:val="20"/>
                <w:lang w:val="en-US"/>
              </w:rPr>
            </w:pPr>
          </w:p>
        </w:tc>
        <w:tc>
          <w:tcPr>
            <w:tcW w:w="0" w:type="auto"/>
          </w:tcPr>
          <w:p w14:paraId="2FC7881F"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c>
          <w:tcPr>
            <w:tcW w:w="0" w:type="auto"/>
          </w:tcPr>
          <w:p w14:paraId="14BDD665"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GP (</w:t>
            </w:r>
            <w:proofErr w:type="spellStart"/>
            <w:r w:rsidRPr="005A2C26">
              <w:rPr>
                <w:rFonts w:asciiTheme="minorHAnsi" w:hAnsiTheme="minorHAnsi"/>
                <w:sz w:val="20"/>
                <w:szCs w:val="20"/>
                <w:lang w:val="en-US"/>
              </w:rPr>
              <w:t>Taroona</w:t>
            </w:r>
            <w:proofErr w:type="spellEnd"/>
            <w:r w:rsidRPr="005A2C26">
              <w:rPr>
                <w:rFonts w:asciiTheme="minorHAnsi" w:hAnsiTheme="minorHAnsi"/>
                <w:sz w:val="20"/>
                <w:szCs w:val="20"/>
                <w:lang w:val="en-US"/>
              </w:rPr>
              <w:t>) sees MM once a week</w:t>
            </w:r>
          </w:p>
          <w:p w14:paraId="51D69EF5"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MM very paranoid and teary; prescribed anti-depressant and anti-psychotic; MM a ‘very high-care’ patient (all ADLs)</w:t>
            </w:r>
          </w:p>
        </w:tc>
        <w:tc>
          <w:tcPr>
            <w:tcW w:w="0" w:type="auto"/>
          </w:tcPr>
          <w:p w14:paraId="319CF4AC"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c>
          <w:tcPr>
            <w:tcW w:w="0" w:type="auto"/>
          </w:tcPr>
          <w:p w14:paraId="6D6331E3"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C0504D" w:themeColor="accent2"/>
                <w:sz w:val="20"/>
                <w:szCs w:val="20"/>
                <w:lang w:val="en-US"/>
              </w:rPr>
            </w:pPr>
            <w:r w:rsidRPr="005A2C26">
              <w:rPr>
                <w:rFonts w:asciiTheme="minorHAnsi" w:hAnsiTheme="minorHAnsi"/>
                <w:sz w:val="20"/>
                <w:szCs w:val="20"/>
                <w:lang w:val="en-US"/>
              </w:rPr>
              <w:t>Did GP (</w:t>
            </w:r>
            <w:proofErr w:type="spellStart"/>
            <w:r w:rsidRPr="005A2C26">
              <w:rPr>
                <w:rFonts w:asciiTheme="minorHAnsi" w:hAnsiTheme="minorHAnsi"/>
                <w:sz w:val="20"/>
                <w:szCs w:val="20"/>
                <w:lang w:val="en-US"/>
              </w:rPr>
              <w:t>Taroona</w:t>
            </w:r>
            <w:proofErr w:type="spellEnd"/>
            <w:r w:rsidRPr="005A2C26">
              <w:rPr>
                <w:rFonts w:asciiTheme="minorHAnsi" w:hAnsiTheme="minorHAnsi"/>
                <w:sz w:val="20"/>
                <w:szCs w:val="20"/>
                <w:lang w:val="en-US"/>
              </w:rPr>
              <w:t xml:space="preserve">) consider home circumstances in New Norfolk – </w:t>
            </w:r>
            <w:r w:rsidRPr="005A2C26">
              <w:rPr>
                <w:rFonts w:asciiTheme="minorHAnsi" w:hAnsiTheme="minorHAnsi"/>
                <w:color w:val="C0504D" w:themeColor="accent2"/>
                <w:sz w:val="20"/>
                <w:szCs w:val="20"/>
                <w:lang w:val="en-US"/>
              </w:rPr>
              <w:t>amber flag</w:t>
            </w:r>
          </w:p>
          <w:p w14:paraId="117DD5A4" w14:textId="77777777" w:rsidR="001641CD" w:rsidRPr="005A2C26" w:rsidRDefault="001641CD"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Was there contact between this GP and others who had seen MM?</w:t>
            </w:r>
          </w:p>
        </w:tc>
      </w:tr>
      <w:tr w:rsidR="00C11853" w:rsidRPr="00906651" w14:paraId="2A08E625" w14:textId="77777777" w:rsidTr="00906651">
        <w:tc>
          <w:tcPr>
            <w:cnfStyle w:val="001000000000" w:firstRow="0" w:lastRow="0" w:firstColumn="1" w:lastColumn="0" w:oddVBand="0" w:evenVBand="0" w:oddHBand="0" w:evenHBand="0" w:firstRowFirstColumn="0" w:firstRowLastColumn="0" w:lastRowFirstColumn="0" w:lastRowLastColumn="0"/>
            <w:tcW w:w="0" w:type="auto"/>
          </w:tcPr>
          <w:p w14:paraId="0F925758" w14:textId="77777777"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t>c. 9 August 2009</w:t>
            </w:r>
          </w:p>
        </w:tc>
        <w:tc>
          <w:tcPr>
            <w:tcW w:w="0" w:type="auto"/>
          </w:tcPr>
          <w:p w14:paraId="7C2D86AF"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 xml:space="preserve">Daughter requests that MM be discharged from MG </w:t>
            </w:r>
          </w:p>
        </w:tc>
        <w:tc>
          <w:tcPr>
            <w:tcW w:w="0" w:type="auto"/>
          </w:tcPr>
          <w:p w14:paraId="7994DEDB"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GP (</w:t>
            </w:r>
            <w:proofErr w:type="spellStart"/>
            <w:r w:rsidRPr="005A2C26">
              <w:rPr>
                <w:rFonts w:asciiTheme="minorHAnsi" w:hAnsiTheme="minorHAnsi"/>
                <w:sz w:val="20"/>
                <w:szCs w:val="20"/>
                <w:lang w:val="en-US"/>
              </w:rPr>
              <w:t>Taroona</w:t>
            </w:r>
            <w:proofErr w:type="spellEnd"/>
            <w:r w:rsidRPr="005A2C26">
              <w:rPr>
                <w:rFonts w:asciiTheme="minorHAnsi" w:hAnsiTheme="minorHAnsi"/>
                <w:sz w:val="20"/>
                <w:szCs w:val="20"/>
                <w:lang w:val="en-US"/>
              </w:rPr>
              <w:t>) concerned that 24-hour care needed</w:t>
            </w:r>
          </w:p>
          <w:p w14:paraId="5F367E5A"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Daughter advised room being prepared, and that she would provide care needed</w:t>
            </w:r>
          </w:p>
        </w:tc>
        <w:tc>
          <w:tcPr>
            <w:tcW w:w="0" w:type="auto"/>
          </w:tcPr>
          <w:p w14:paraId="489A3A35"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p>
        </w:tc>
        <w:tc>
          <w:tcPr>
            <w:tcW w:w="0" w:type="auto"/>
          </w:tcPr>
          <w:p w14:paraId="5FB7D23A" w14:textId="2D6F9330"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No option for checking on daughter’s capacity to provide care</w:t>
            </w:r>
            <w:r w:rsidR="005A2C26">
              <w:rPr>
                <w:rFonts w:asciiTheme="minorHAnsi" w:hAnsiTheme="minorHAnsi"/>
                <w:sz w:val="20"/>
                <w:szCs w:val="20"/>
                <w:lang w:val="en-US"/>
              </w:rPr>
              <w:t xml:space="preserve">. </w:t>
            </w:r>
            <w:r w:rsidR="005A2C26" w:rsidRPr="007F3D03">
              <w:rPr>
                <w:rFonts w:asciiTheme="minorHAnsi" w:hAnsiTheme="minorHAnsi"/>
                <w:color w:val="FF0000"/>
                <w:sz w:val="20"/>
                <w:szCs w:val="20"/>
                <w:lang w:val="en-US"/>
              </w:rPr>
              <w:t xml:space="preserve">Red flag </w:t>
            </w:r>
            <w:r w:rsidR="005A2C26">
              <w:rPr>
                <w:rFonts w:asciiTheme="minorHAnsi" w:hAnsiTheme="minorHAnsi"/>
                <w:sz w:val="20"/>
                <w:szCs w:val="20"/>
                <w:lang w:val="en-US"/>
              </w:rPr>
              <w:t xml:space="preserve">Requirement for home visit by professional to determine suitability of </w:t>
            </w:r>
            <w:proofErr w:type="spellStart"/>
            <w:r w:rsidR="005A2C26">
              <w:rPr>
                <w:rFonts w:asciiTheme="minorHAnsi" w:hAnsiTheme="minorHAnsi"/>
                <w:sz w:val="20"/>
                <w:szCs w:val="20"/>
                <w:lang w:val="en-US"/>
              </w:rPr>
              <w:t>accomodation</w:t>
            </w:r>
            <w:proofErr w:type="spellEnd"/>
          </w:p>
        </w:tc>
      </w:tr>
      <w:tr w:rsidR="00C11853" w:rsidRPr="00906651" w14:paraId="740108A9" w14:textId="77777777" w:rsidTr="00906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71E293" w14:textId="77777777"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t>13 August 2009</w:t>
            </w:r>
          </w:p>
        </w:tc>
        <w:tc>
          <w:tcPr>
            <w:tcW w:w="0" w:type="auto"/>
          </w:tcPr>
          <w:p w14:paraId="560DDFAB"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MM discharged to care of daughter</w:t>
            </w:r>
          </w:p>
        </w:tc>
        <w:tc>
          <w:tcPr>
            <w:tcW w:w="0" w:type="auto"/>
          </w:tcPr>
          <w:p w14:paraId="6D4A7AC9"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c>
          <w:tcPr>
            <w:tcW w:w="0" w:type="auto"/>
          </w:tcPr>
          <w:p w14:paraId="5D555ECA"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c>
          <w:tcPr>
            <w:tcW w:w="0" w:type="auto"/>
          </w:tcPr>
          <w:p w14:paraId="2F224945"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What do discharge records show?</w:t>
            </w:r>
          </w:p>
          <w:p w14:paraId="5161A665"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 xml:space="preserve">Discharge planner? </w:t>
            </w:r>
          </w:p>
          <w:p w14:paraId="2A3951BA"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 xml:space="preserve">ACAT re home circumstances? </w:t>
            </w:r>
            <w:r w:rsidRPr="005A2C26">
              <w:rPr>
                <w:rFonts w:asciiTheme="minorHAnsi" w:hAnsiTheme="minorHAnsi"/>
                <w:color w:val="C0504D" w:themeColor="accent2"/>
                <w:sz w:val="20"/>
                <w:szCs w:val="20"/>
                <w:lang w:val="en-US"/>
              </w:rPr>
              <w:t>Amber flag</w:t>
            </w:r>
          </w:p>
        </w:tc>
      </w:tr>
      <w:tr w:rsidR="00C11853" w:rsidRPr="00906651" w14:paraId="22FE3715" w14:textId="77777777" w:rsidTr="00906651">
        <w:tc>
          <w:tcPr>
            <w:cnfStyle w:val="001000000000" w:firstRow="0" w:lastRow="0" w:firstColumn="1" w:lastColumn="0" w:oddVBand="0" w:evenVBand="0" w:oddHBand="0" w:evenHBand="0" w:firstRowFirstColumn="0" w:firstRowLastColumn="0" w:lastRowFirstColumn="0" w:lastRowLastColumn="0"/>
            <w:tcW w:w="0" w:type="auto"/>
          </w:tcPr>
          <w:p w14:paraId="66B62F28" w14:textId="77777777"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t>14 August 2009 (next day!)</w:t>
            </w:r>
          </w:p>
        </w:tc>
        <w:tc>
          <w:tcPr>
            <w:tcW w:w="0" w:type="auto"/>
          </w:tcPr>
          <w:p w14:paraId="763C03CB"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 xml:space="preserve">Daughter gets ‘Authority to Operate’ </w:t>
            </w:r>
            <w:r w:rsidRPr="005A2C26">
              <w:rPr>
                <w:rFonts w:asciiTheme="minorHAnsi" w:hAnsiTheme="minorHAnsi"/>
                <w:sz w:val="20"/>
                <w:szCs w:val="20"/>
                <w:lang w:val="en-US"/>
              </w:rPr>
              <w:lastRenderedPageBreak/>
              <w:t>from CBA New Norfolk</w:t>
            </w:r>
          </w:p>
        </w:tc>
        <w:tc>
          <w:tcPr>
            <w:tcW w:w="0" w:type="auto"/>
          </w:tcPr>
          <w:p w14:paraId="776A8305"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lastRenderedPageBreak/>
              <w:t>Daughter can operate MM’s accounts</w:t>
            </w:r>
          </w:p>
        </w:tc>
        <w:tc>
          <w:tcPr>
            <w:tcW w:w="0" w:type="auto"/>
          </w:tcPr>
          <w:p w14:paraId="4C3155D2"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p>
        </w:tc>
        <w:tc>
          <w:tcPr>
            <w:tcW w:w="0" w:type="auto"/>
          </w:tcPr>
          <w:p w14:paraId="1BB62EA3"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 xml:space="preserve">Circumstances unclear – no </w:t>
            </w:r>
            <w:proofErr w:type="spellStart"/>
            <w:r w:rsidRPr="005A2C26">
              <w:rPr>
                <w:rFonts w:asciiTheme="minorHAnsi" w:hAnsiTheme="minorHAnsi"/>
                <w:sz w:val="20"/>
                <w:szCs w:val="20"/>
                <w:lang w:val="en-US"/>
              </w:rPr>
              <w:t>PoA</w:t>
            </w:r>
            <w:proofErr w:type="spellEnd"/>
            <w:r w:rsidRPr="005A2C26">
              <w:rPr>
                <w:rFonts w:asciiTheme="minorHAnsi" w:hAnsiTheme="minorHAnsi"/>
                <w:sz w:val="20"/>
                <w:szCs w:val="20"/>
                <w:lang w:val="en-US"/>
              </w:rPr>
              <w:t xml:space="preserve"> or Guardianship in place</w:t>
            </w:r>
          </w:p>
          <w:p w14:paraId="3727D26C"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0"/>
                <w:szCs w:val="20"/>
                <w:lang w:val="en-US"/>
              </w:rPr>
            </w:pPr>
            <w:r w:rsidRPr="005A2C26">
              <w:rPr>
                <w:rFonts w:asciiTheme="minorHAnsi" w:hAnsiTheme="minorHAnsi"/>
                <w:sz w:val="20"/>
                <w:szCs w:val="20"/>
                <w:lang w:val="en-US"/>
              </w:rPr>
              <w:lastRenderedPageBreak/>
              <w:t xml:space="preserve">CBA? </w:t>
            </w:r>
            <w:r w:rsidRPr="005A2C26">
              <w:rPr>
                <w:rFonts w:asciiTheme="minorHAnsi" w:hAnsiTheme="minorHAnsi"/>
                <w:color w:val="FF0000"/>
                <w:sz w:val="20"/>
                <w:szCs w:val="20"/>
                <w:lang w:val="en-US"/>
              </w:rPr>
              <w:t>Red flag</w:t>
            </w:r>
          </w:p>
          <w:p w14:paraId="0DC03D59"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 xml:space="preserve">No </w:t>
            </w:r>
            <w:proofErr w:type="spellStart"/>
            <w:r w:rsidRPr="005A2C26">
              <w:rPr>
                <w:rFonts w:asciiTheme="minorHAnsi" w:hAnsiTheme="minorHAnsi"/>
                <w:sz w:val="20"/>
                <w:szCs w:val="20"/>
                <w:lang w:val="en-US"/>
              </w:rPr>
              <w:t>carer’s</w:t>
            </w:r>
            <w:proofErr w:type="spellEnd"/>
            <w:r w:rsidRPr="005A2C26">
              <w:rPr>
                <w:rFonts w:asciiTheme="minorHAnsi" w:hAnsiTheme="minorHAnsi"/>
                <w:sz w:val="20"/>
                <w:szCs w:val="20"/>
                <w:lang w:val="en-US"/>
              </w:rPr>
              <w:t xml:space="preserve"> benefit – thus, no Centrelink contact</w:t>
            </w:r>
          </w:p>
        </w:tc>
      </w:tr>
      <w:tr w:rsidR="00C11853" w:rsidRPr="00906651" w14:paraId="4F614106" w14:textId="77777777" w:rsidTr="00906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93D981" w14:textId="77777777"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lastRenderedPageBreak/>
              <w:t>August 2009</w:t>
            </w:r>
          </w:p>
        </w:tc>
        <w:tc>
          <w:tcPr>
            <w:tcW w:w="0" w:type="auto"/>
          </w:tcPr>
          <w:p w14:paraId="7C0BD82A"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Daughter gets repeat prescriptions from GP (</w:t>
            </w:r>
            <w:proofErr w:type="spellStart"/>
            <w:r w:rsidRPr="005A2C26">
              <w:rPr>
                <w:rFonts w:asciiTheme="minorHAnsi" w:hAnsiTheme="minorHAnsi"/>
                <w:sz w:val="20"/>
                <w:szCs w:val="20"/>
                <w:lang w:val="en-US"/>
              </w:rPr>
              <w:t>Taroona</w:t>
            </w:r>
            <w:proofErr w:type="spellEnd"/>
            <w:r w:rsidRPr="005A2C26">
              <w:rPr>
                <w:rFonts w:asciiTheme="minorHAnsi" w:hAnsiTheme="minorHAnsi"/>
                <w:sz w:val="20"/>
                <w:szCs w:val="20"/>
                <w:lang w:val="en-US"/>
              </w:rPr>
              <w:t>)</w:t>
            </w:r>
          </w:p>
        </w:tc>
        <w:tc>
          <w:tcPr>
            <w:tcW w:w="0" w:type="auto"/>
          </w:tcPr>
          <w:p w14:paraId="6D70CD33"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c>
          <w:tcPr>
            <w:tcW w:w="0" w:type="auto"/>
          </w:tcPr>
          <w:p w14:paraId="1B7D06CE"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c>
          <w:tcPr>
            <w:tcW w:w="0" w:type="auto"/>
          </w:tcPr>
          <w:p w14:paraId="267AC842"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r>
      <w:tr w:rsidR="00C11853" w:rsidRPr="00906651" w14:paraId="6FD83DD1" w14:textId="77777777" w:rsidTr="00906651">
        <w:tc>
          <w:tcPr>
            <w:cnfStyle w:val="001000000000" w:firstRow="0" w:lastRow="0" w:firstColumn="1" w:lastColumn="0" w:oddVBand="0" w:evenVBand="0" w:oddHBand="0" w:evenHBand="0" w:firstRowFirstColumn="0" w:firstRowLastColumn="0" w:lastRowFirstColumn="0" w:lastRowLastColumn="0"/>
            <w:tcW w:w="0" w:type="auto"/>
          </w:tcPr>
          <w:p w14:paraId="61087418" w14:textId="77777777"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t>30 October 2009</w:t>
            </w:r>
          </w:p>
        </w:tc>
        <w:tc>
          <w:tcPr>
            <w:tcW w:w="0" w:type="auto"/>
          </w:tcPr>
          <w:p w14:paraId="1C5AB2A9"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New Norfolk unit sold</w:t>
            </w:r>
          </w:p>
        </w:tc>
        <w:tc>
          <w:tcPr>
            <w:tcW w:w="0" w:type="auto"/>
          </w:tcPr>
          <w:p w14:paraId="5E84AD1F"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p>
        </w:tc>
        <w:tc>
          <w:tcPr>
            <w:tcW w:w="0" w:type="auto"/>
          </w:tcPr>
          <w:p w14:paraId="22F27327" w14:textId="3D7C7994"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Proceeds into MM’s son-in-law’s account</w:t>
            </w:r>
          </w:p>
        </w:tc>
        <w:tc>
          <w:tcPr>
            <w:tcW w:w="0" w:type="auto"/>
          </w:tcPr>
          <w:p w14:paraId="4A38606E"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p>
        </w:tc>
      </w:tr>
      <w:tr w:rsidR="00C11853" w:rsidRPr="00906651" w14:paraId="612E4034" w14:textId="77777777" w:rsidTr="00906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5C85D4E" w14:textId="77777777"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t>16 November 2009 (3 months after last consultation)</w:t>
            </w:r>
          </w:p>
        </w:tc>
        <w:tc>
          <w:tcPr>
            <w:tcW w:w="0" w:type="auto"/>
          </w:tcPr>
          <w:p w14:paraId="02B06636"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MM sees GP (</w:t>
            </w:r>
            <w:proofErr w:type="spellStart"/>
            <w:r w:rsidRPr="005A2C26">
              <w:rPr>
                <w:rFonts w:asciiTheme="minorHAnsi" w:hAnsiTheme="minorHAnsi"/>
                <w:sz w:val="20"/>
                <w:szCs w:val="20"/>
                <w:lang w:val="en-US"/>
              </w:rPr>
              <w:t>Taroona</w:t>
            </w:r>
            <w:proofErr w:type="spellEnd"/>
            <w:r w:rsidRPr="005A2C26">
              <w:rPr>
                <w:rFonts w:asciiTheme="minorHAnsi" w:hAnsiTheme="minorHAnsi"/>
                <w:sz w:val="20"/>
                <w:szCs w:val="20"/>
                <w:lang w:val="en-US"/>
              </w:rPr>
              <w:t>)</w:t>
            </w:r>
          </w:p>
        </w:tc>
        <w:tc>
          <w:tcPr>
            <w:tcW w:w="0" w:type="auto"/>
          </w:tcPr>
          <w:p w14:paraId="444DD62C"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MM confused; poor insight and judgement; hard work says daughter; GP provides info re palliative care and re placement option</w:t>
            </w:r>
          </w:p>
        </w:tc>
        <w:tc>
          <w:tcPr>
            <w:tcW w:w="0" w:type="auto"/>
          </w:tcPr>
          <w:p w14:paraId="791E246F"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c>
          <w:tcPr>
            <w:tcW w:w="0" w:type="auto"/>
          </w:tcPr>
          <w:p w14:paraId="1468ADFD"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Daughter flagging need for help to GP</w:t>
            </w:r>
          </w:p>
          <w:p w14:paraId="0EE77989" w14:textId="26D136B1" w:rsidR="008E1869" w:rsidRPr="005A2C26" w:rsidRDefault="001641CD"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color w:val="C0504D" w:themeColor="accent2"/>
                <w:sz w:val="20"/>
                <w:szCs w:val="20"/>
                <w:lang w:val="en-US"/>
              </w:rPr>
              <w:t>Amber flag</w:t>
            </w:r>
          </w:p>
        </w:tc>
      </w:tr>
      <w:tr w:rsidR="00C11853" w:rsidRPr="00906651" w14:paraId="5D87CF4C" w14:textId="77777777" w:rsidTr="00906651">
        <w:tc>
          <w:tcPr>
            <w:cnfStyle w:val="001000000000" w:firstRow="0" w:lastRow="0" w:firstColumn="1" w:lastColumn="0" w:oddVBand="0" w:evenVBand="0" w:oddHBand="0" w:evenHBand="0" w:firstRowFirstColumn="0" w:firstRowLastColumn="0" w:lastRowFirstColumn="0" w:lastRowLastColumn="0"/>
            <w:tcW w:w="0" w:type="auto"/>
          </w:tcPr>
          <w:p w14:paraId="4661F703" w14:textId="16CF9CBF"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t xml:space="preserve">20 January 2010 (2 months after last </w:t>
            </w:r>
            <w:r w:rsidR="00177B0C">
              <w:rPr>
                <w:rFonts w:asciiTheme="minorHAnsi" w:hAnsiTheme="minorHAnsi"/>
                <w:sz w:val="20"/>
                <w:szCs w:val="20"/>
                <w:lang w:val="en-US"/>
              </w:rPr>
              <w:t>co</w:t>
            </w:r>
            <w:r w:rsidR="002424BF">
              <w:rPr>
                <w:rFonts w:asciiTheme="minorHAnsi" w:hAnsiTheme="minorHAnsi"/>
                <w:sz w:val="20"/>
                <w:szCs w:val="20"/>
                <w:lang w:val="en-US"/>
              </w:rPr>
              <w:t>nsultaton</w:t>
            </w:r>
            <w:r w:rsidRPr="005A2C26">
              <w:rPr>
                <w:rFonts w:asciiTheme="minorHAnsi" w:hAnsiTheme="minorHAnsi"/>
                <w:sz w:val="20"/>
                <w:szCs w:val="20"/>
                <w:lang w:val="en-US"/>
              </w:rPr>
              <w:t>)</w:t>
            </w:r>
          </w:p>
        </w:tc>
        <w:tc>
          <w:tcPr>
            <w:tcW w:w="0" w:type="auto"/>
          </w:tcPr>
          <w:p w14:paraId="374E0C0D" w14:textId="4F8B6F68" w:rsidR="008E1869" w:rsidRPr="005A2C26" w:rsidRDefault="00FB2F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Pr>
                <w:rFonts w:asciiTheme="minorHAnsi" w:hAnsiTheme="minorHAnsi"/>
                <w:sz w:val="20"/>
                <w:szCs w:val="20"/>
                <w:lang w:val="en-US"/>
              </w:rPr>
              <w:t>MM sees GP (</w:t>
            </w:r>
            <w:proofErr w:type="spellStart"/>
            <w:r>
              <w:rPr>
                <w:rFonts w:asciiTheme="minorHAnsi" w:hAnsiTheme="minorHAnsi"/>
                <w:sz w:val="20"/>
                <w:szCs w:val="20"/>
                <w:lang w:val="en-US"/>
              </w:rPr>
              <w:t>Taroona</w:t>
            </w:r>
            <w:proofErr w:type="spellEnd"/>
            <w:r>
              <w:rPr>
                <w:rFonts w:asciiTheme="minorHAnsi" w:hAnsiTheme="minorHAnsi"/>
                <w:sz w:val="20"/>
                <w:szCs w:val="20"/>
                <w:lang w:val="en-US"/>
              </w:rPr>
              <w:t>) – to obtain prescriptions</w:t>
            </w:r>
          </w:p>
        </w:tc>
        <w:tc>
          <w:tcPr>
            <w:tcW w:w="0" w:type="auto"/>
          </w:tcPr>
          <w:p w14:paraId="48312005" w14:textId="5B960CFD" w:rsidR="008E1869" w:rsidRPr="005A2C26" w:rsidRDefault="00FB2F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Pr>
                <w:rFonts w:asciiTheme="minorHAnsi" w:hAnsiTheme="minorHAnsi"/>
                <w:sz w:val="20"/>
                <w:szCs w:val="20"/>
                <w:lang w:val="en-US"/>
              </w:rPr>
              <w:t>Consult is conducted (?) with MM in the car</w:t>
            </w:r>
          </w:p>
        </w:tc>
        <w:tc>
          <w:tcPr>
            <w:tcW w:w="0" w:type="auto"/>
          </w:tcPr>
          <w:p w14:paraId="1FA63CBB"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p>
        </w:tc>
        <w:tc>
          <w:tcPr>
            <w:tcW w:w="0" w:type="auto"/>
          </w:tcPr>
          <w:p w14:paraId="47748E67" w14:textId="4D6A1856" w:rsidR="008E1869" w:rsidRPr="005A2C26" w:rsidRDefault="00FB2F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Pr>
                <w:rFonts w:asciiTheme="minorHAnsi" w:hAnsiTheme="minorHAnsi"/>
                <w:sz w:val="20"/>
                <w:szCs w:val="20"/>
                <w:lang w:val="en-US"/>
              </w:rPr>
              <w:t xml:space="preserve">GP aware that MM unable to </w:t>
            </w:r>
            <w:proofErr w:type="spellStart"/>
            <w:r>
              <w:rPr>
                <w:rFonts w:asciiTheme="minorHAnsi" w:hAnsiTheme="minorHAnsi"/>
                <w:sz w:val="20"/>
                <w:szCs w:val="20"/>
                <w:lang w:val="en-US"/>
              </w:rPr>
              <w:t>mobilise</w:t>
            </w:r>
            <w:proofErr w:type="spellEnd"/>
            <w:r>
              <w:rPr>
                <w:rFonts w:asciiTheme="minorHAnsi" w:hAnsiTheme="minorHAnsi"/>
                <w:sz w:val="20"/>
                <w:szCs w:val="20"/>
                <w:lang w:val="en-US"/>
              </w:rPr>
              <w:t xml:space="preserve"> (?) - </w:t>
            </w:r>
            <w:r>
              <w:rPr>
                <w:rFonts w:asciiTheme="minorHAnsi" w:hAnsiTheme="minorHAnsi"/>
                <w:color w:val="C0504D" w:themeColor="accent2"/>
                <w:sz w:val="20"/>
                <w:szCs w:val="20"/>
                <w:lang w:val="en-US"/>
              </w:rPr>
              <w:t>a</w:t>
            </w:r>
            <w:r w:rsidRPr="008F55C8">
              <w:rPr>
                <w:rFonts w:asciiTheme="minorHAnsi" w:hAnsiTheme="minorHAnsi"/>
                <w:color w:val="C0504D" w:themeColor="accent2"/>
                <w:sz w:val="20"/>
                <w:szCs w:val="20"/>
                <w:lang w:val="en-US"/>
              </w:rPr>
              <w:t>mber flag</w:t>
            </w:r>
          </w:p>
        </w:tc>
      </w:tr>
      <w:tr w:rsidR="00C11853" w:rsidRPr="00906651" w14:paraId="32EFFB33" w14:textId="77777777" w:rsidTr="00906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E287432" w14:textId="77777777"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t>18 June 2010</w:t>
            </w:r>
          </w:p>
        </w:tc>
        <w:tc>
          <w:tcPr>
            <w:tcW w:w="0" w:type="auto"/>
          </w:tcPr>
          <w:p w14:paraId="30FE76FC"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 xml:space="preserve">MM sees GP: in wheelchair; inflamed toes (lack of care); son in law promises to arrange with podiatrist through his work – no notice given to GP of name, despite agreement </w:t>
            </w:r>
          </w:p>
        </w:tc>
        <w:tc>
          <w:tcPr>
            <w:tcW w:w="0" w:type="auto"/>
          </w:tcPr>
          <w:p w14:paraId="2D276CB4"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GP (</w:t>
            </w:r>
            <w:proofErr w:type="spellStart"/>
            <w:r w:rsidRPr="005A2C26">
              <w:rPr>
                <w:rFonts w:asciiTheme="minorHAnsi" w:hAnsiTheme="minorHAnsi"/>
                <w:sz w:val="20"/>
                <w:szCs w:val="20"/>
                <w:lang w:val="en-US"/>
              </w:rPr>
              <w:t>Taroona</w:t>
            </w:r>
            <w:proofErr w:type="spellEnd"/>
            <w:r w:rsidRPr="005A2C26">
              <w:rPr>
                <w:rFonts w:asciiTheme="minorHAnsi" w:hAnsiTheme="minorHAnsi"/>
                <w:sz w:val="20"/>
                <w:szCs w:val="20"/>
                <w:lang w:val="en-US"/>
              </w:rPr>
              <w:t>) thought daughter doing a very good job (how would GP know?)</w:t>
            </w:r>
          </w:p>
        </w:tc>
        <w:tc>
          <w:tcPr>
            <w:tcW w:w="0" w:type="auto"/>
          </w:tcPr>
          <w:p w14:paraId="5C81EFFC"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c>
          <w:tcPr>
            <w:tcW w:w="0" w:type="auto"/>
          </w:tcPr>
          <w:p w14:paraId="608394CA" w14:textId="52E336B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GP suggests podiatrist home visit (not taken up)</w:t>
            </w:r>
            <w:r w:rsidR="00E55F08">
              <w:rPr>
                <w:rFonts w:asciiTheme="minorHAnsi" w:hAnsiTheme="minorHAnsi"/>
                <w:sz w:val="20"/>
                <w:szCs w:val="20"/>
                <w:lang w:val="en-US"/>
              </w:rPr>
              <w:t xml:space="preserve"> – </w:t>
            </w:r>
            <w:r w:rsidR="0041296A" w:rsidRPr="005A2C26">
              <w:rPr>
                <w:rFonts w:asciiTheme="minorHAnsi" w:hAnsiTheme="minorHAnsi"/>
                <w:color w:val="FF0000"/>
                <w:sz w:val="20"/>
                <w:szCs w:val="20"/>
                <w:lang w:val="en-US"/>
              </w:rPr>
              <w:t>red</w:t>
            </w:r>
            <w:r w:rsidR="001641CD" w:rsidRPr="005A2C26">
              <w:rPr>
                <w:rFonts w:asciiTheme="minorHAnsi" w:hAnsiTheme="minorHAnsi"/>
                <w:color w:val="FF0000"/>
                <w:sz w:val="20"/>
                <w:szCs w:val="20"/>
                <w:lang w:val="en-US"/>
              </w:rPr>
              <w:t xml:space="preserve"> flag</w:t>
            </w:r>
          </w:p>
        </w:tc>
      </w:tr>
      <w:tr w:rsidR="00C11853" w:rsidRPr="00906651" w14:paraId="606BBA3D" w14:textId="77777777" w:rsidTr="00906651">
        <w:tc>
          <w:tcPr>
            <w:cnfStyle w:val="001000000000" w:firstRow="0" w:lastRow="0" w:firstColumn="1" w:lastColumn="0" w:oddVBand="0" w:evenVBand="0" w:oddHBand="0" w:evenHBand="0" w:firstRowFirstColumn="0" w:firstRowLastColumn="0" w:lastRowFirstColumn="0" w:lastRowLastColumn="0"/>
            <w:tcW w:w="0" w:type="auto"/>
          </w:tcPr>
          <w:p w14:paraId="3B84A9FF" w14:textId="77777777"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t>22 July 2010</w:t>
            </w:r>
          </w:p>
        </w:tc>
        <w:tc>
          <w:tcPr>
            <w:tcW w:w="0" w:type="auto"/>
          </w:tcPr>
          <w:p w14:paraId="6B7A66A3"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MM and family move to Mount Lloyd</w:t>
            </w:r>
          </w:p>
        </w:tc>
        <w:tc>
          <w:tcPr>
            <w:tcW w:w="0" w:type="auto"/>
          </w:tcPr>
          <w:p w14:paraId="51C07499"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Accommodation is a hut (4 rooms)</w:t>
            </w:r>
          </w:p>
        </w:tc>
        <w:tc>
          <w:tcPr>
            <w:tcW w:w="0" w:type="auto"/>
          </w:tcPr>
          <w:p w14:paraId="5F45F54F"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p>
        </w:tc>
        <w:tc>
          <w:tcPr>
            <w:tcW w:w="0" w:type="auto"/>
          </w:tcPr>
          <w:p w14:paraId="19E0CED6"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 xml:space="preserve">NN Council? </w:t>
            </w:r>
          </w:p>
        </w:tc>
      </w:tr>
      <w:tr w:rsidR="00C11853" w:rsidRPr="00906651" w14:paraId="541970A9" w14:textId="77777777" w:rsidTr="00906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D48F7A" w14:textId="77777777"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t>23 July 2010</w:t>
            </w:r>
          </w:p>
        </w:tc>
        <w:tc>
          <w:tcPr>
            <w:tcW w:w="0" w:type="auto"/>
          </w:tcPr>
          <w:p w14:paraId="38910294"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MM put to bed in shipping container</w:t>
            </w:r>
          </w:p>
        </w:tc>
        <w:tc>
          <w:tcPr>
            <w:tcW w:w="0" w:type="auto"/>
          </w:tcPr>
          <w:p w14:paraId="2E1CB7A4"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c>
          <w:tcPr>
            <w:tcW w:w="0" w:type="auto"/>
          </w:tcPr>
          <w:p w14:paraId="1EBDDA2F"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c>
          <w:tcPr>
            <w:tcW w:w="0" w:type="auto"/>
          </w:tcPr>
          <w:p w14:paraId="7467FB1D"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r>
      <w:tr w:rsidR="00C11853" w:rsidRPr="00906651" w14:paraId="7D8CC996" w14:textId="77777777" w:rsidTr="00906651">
        <w:tc>
          <w:tcPr>
            <w:cnfStyle w:val="001000000000" w:firstRow="0" w:lastRow="0" w:firstColumn="1" w:lastColumn="0" w:oddVBand="0" w:evenVBand="0" w:oddHBand="0" w:evenHBand="0" w:firstRowFirstColumn="0" w:firstRowLastColumn="0" w:lastRowFirstColumn="0" w:lastRowLastColumn="0"/>
            <w:tcW w:w="0" w:type="auto"/>
          </w:tcPr>
          <w:p w14:paraId="6F03D73D" w14:textId="77777777"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t>24 July 2010</w:t>
            </w:r>
          </w:p>
        </w:tc>
        <w:tc>
          <w:tcPr>
            <w:tcW w:w="0" w:type="auto"/>
          </w:tcPr>
          <w:p w14:paraId="016522D2"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MM found dead</w:t>
            </w:r>
          </w:p>
        </w:tc>
        <w:tc>
          <w:tcPr>
            <w:tcW w:w="0" w:type="auto"/>
          </w:tcPr>
          <w:p w14:paraId="1FF575E2"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MM’s weight = 37.9Kg</w:t>
            </w:r>
          </w:p>
        </w:tc>
        <w:tc>
          <w:tcPr>
            <w:tcW w:w="0" w:type="auto"/>
          </w:tcPr>
          <w:p w14:paraId="26B81D4C"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p>
        </w:tc>
        <w:tc>
          <w:tcPr>
            <w:tcW w:w="0" w:type="auto"/>
          </w:tcPr>
          <w:p w14:paraId="0048A273" w14:textId="77777777" w:rsidR="008E1869" w:rsidRPr="005A2C26" w:rsidRDefault="008E1869" w:rsidP="005A2C2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p>
        </w:tc>
      </w:tr>
      <w:tr w:rsidR="00C11853" w:rsidRPr="00906651" w14:paraId="594CAA30" w14:textId="77777777" w:rsidTr="00906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1E83B5" w14:textId="77777777" w:rsidR="008E1869" w:rsidRPr="005A2C26" w:rsidRDefault="008E1869" w:rsidP="005A2C26">
            <w:pPr>
              <w:spacing w:before="40" w:after="40" w:line="240" w:lineRule="auto"/>
              <w:rPr>
                <w:rFonts w:asciiTheme="minorHAnsi" w:hAnsiTheme="minorHAnsi"/>
                <w:sz w:val="20"/>
                <w:szCs w:val="20"/>
                <w:lang w:val="en-US"/>
              </w:rPr>
            </w:pPr>
            <w:r w:rsidRPr="005A2C26">
              <w:rPr>
                <w:rFonts w:asciiTheme="minorHAnsi" w:hAnsiTheme="minorHAnsi"/>
                <w:sz w:val="20"/>
                <w:szCs w:val="20"/>
                <w:lang w:val="en-US"/>
              </w:rPr>
              <w:t>31 August 2010</w:t>
            </w:r>
          </w:p>
        </w:tc>
        <w:tc>
          <w:tcPr>
            <w:tcW w:w="0" w:type="auto"/>
          </w:tcPr>
          <w:p w14:paraId="36AF78EB"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c>
          <w:tcPr>
            <w:tcW w:w="0" w:type="auto"/>
          </w:tcPr>
          <w:p w14:paraId="04BE91C3"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c>
          <w:tcPr>
            <w:tcW w:w="0" w:type="auto"/>
          </w:tcPr>
          <w:p w14:paraId="1DEA96C5" w14:textId="77777777"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$30,490.31 in account A</w:t>
            </w:r>
          </w:p>
        </w:tc>
        <w:tc>
          <w:tcPr>
            <w:tcW w:w="0" w:type="auto"/>
          </w:tcPr>
          <w:p w14:paraId="4BA6CE7F" w14:textId="038D590F" w:rsidR="008E1869" w:rsidRPr="005A2C26" w:rsidRDefault="008E1869" w:rsidP="005A2C2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5A2C26">
              <w:rPr>
                <w:rFonts w:asciiTheme="minorHAnsi" w:hAnsiTheme="minorHAnsi"/>
                <w:sz w:val="20"/>
                <w:szCs w:val="20"/>
                <w:lang w:val="en-US"/>
              </w:rPr>
              <w:t>CBA</w:t>
            </w:r>
            <w:r w:rsidR="00E55F08">
              <w:rPr>
                <w:rFonts w:asciiTheme="minorHAnsi" w:hAnsiTheme="minorHAnsi"/>
                <w:sz w:val="20"/>
                <w:szCs w:val="20"/>
                <w:lang w:val="en-US"/>
              </w:rPr>
              <w:t xml:space="preserve"> – </w:t>
            </w:r>
            <w:r w:rsidRPr="005A2C26">
              <w:rPr>
                <w:rFonts w:asciiTheme="minorHAnsi" w:hAnsiTheme="minorHAnsi"/>
                <w:color w:val="FF0000"/>
                <w:sz w:val="20"/>
                <w:szCs w:val="20"/>
                <w:lang w:val="en-US"/>
              </w:rPr>
              <w:t>red flag</w:t>
            </w:r>
          </w:p>
        </w:tc>
      </w:tr>
    </w:tbl>
    <w:p w14:paraId="6998B71E" w14:textId="77777777" w:rsidR="00177B0C" w:rsidRDefault="00177B0C" w:rsidP="005A2C26">
      <w:pPr>
        <w:jc w:val="right"/>
        <w:rPr>
          <w:rFonts w:ascii="Century Gothic" w:hAnsi="Century Gothic" w:cs="Times New Roman"/>
          <w:sz w:val="20"/>
          <w:szCs w:val="20"/>
        </w:rPr>
      </w:pPr>
    </w:p>
    <w:p w14:paraId="3C511EB0" w14:textId="5636669C" w:rsidR="00FB2F69" w:rsidRPr="005A2C26" w:rsidRDefault="00FB2F69" w:rsidP="005A2C26">
      <w:pPr>
        <w:jc w:val="right"/>
        <w:rPr>
          <w:rFonts w:ascii="Century Gothic" w:hAnsi="Century Gothic" w:cs="Times New Roman"/>
          <w:sz w:val="20"/>
          <w:szCs w:val="20"/>
        </w:rPr>
      </w:pPr>
      <w:r>
        <w:rPr>
          <w:rFonts w:ascii="Century Gothic" w:hAnsi="Century Gothic" w:cs="Times New Roman"/>
          <w:sz w:val="20"/>
          <w:szCs w:val="20"/>
        </w:rPr>
        <w:t>(</w:t>
      </w:r>
      <w:r w:rsidRPr="005A2C26">
        <w:rPr>
          <w:rFonts w:ascii="Century Gothic" w:hAnsi="Century Gothic" w:cs="Times New Roman"/>
          <w:sz w:val="20"/>
          <w:szCs w:val="20"/>
        </w:rPr>
        <w:t xml:space="preserve">See appendix 1: Time-line graphic </w:t>
      </w:r>
      <w:r>
        <w:rPr>
          <w:rFonts w:ascii="Century Gothic" w:hAnsi="Century Gothic" w:cs="Times New Roman"/>
          <w:sz w:val="20"/>
          <w:szCs w:val="20"/>
        </w:rPr>
        <w:t>)</w:t>
      </w:r>
    </w:p>
    <w:p w14:paraId="0DBB330C" w14:textId="77777777" w:rsidR="00177B0C" w:rsidRPr="00177B0C" w:rsidRDefault="00177B0C">
      <w:pPr>
        <w:rPr>
          <w:lang w:val="en-US"/>
        </w:rPr>
      </w:pPr>
    </w:p>
    <w:p w14:paraId="79CE7647" w14:textId="77777777" w:rsidR="008E1869" w:rsidRDefault="008E1869" w:rsidP="008E1869">
      <w:pPr>
        <w:pStyle w:val="Heading2"/>
        <w:rPr>
          <w:lang w:val="en-US"/>
        </w:rPr>
      </w:pPr>
      <w:r>
        <w:rPr>
          <w:lang w:val="en-US"/>
        </w:rPr>
        <w:t>Comments</w:t>
      </w:r>
    </w:p>
    <w:p w14:paraId="009C7E41" w14:textId="46E605D7" w:rsidR="008E1869" w:rsidRDefault="008E1869" w:rsidP="008E1869">
      <w:pPr>
        <w:rPr>
          <w:lang w:val="en-US"/>
        </w:rPr>
      </w:pPr>
      <w:r>
        <w:rPr>
          <w:lang w:val="en-US"/>
        </w:rPr>
        <w:t xml:space="preserve">Taken one at a time, none of these </w:t>
      </w:r>
      <w:r w:rsidR="001641CD">
        <w:rPr>
          <w:lang w:val="en-US"/>
        </w:rPr>
        <w:t xml:space="preserve">events </w:t>
      </w:r>
      <w:r>
        <w:rPr>
          <w:lang w:val="en-US"/>
        </w:rPr>
        <w:t>automatically signals a problem—other than th</w:t>
      </w:r>
      <w:r w:rsidR="00E55F08">
        <w:rPr>
          <w:lang w:val="en-US"/>
        </w:rPr>
        <w:t>at</w:t>
      </w:r>
      <w:r>
        <w:rPr>
          <w:lang w:val="en-US"/>
        </w:rPr>
        <w:t xml:space="preserve"> MM had some form of dementia and </w:t>
      </w:r>
      <w:r w:rsidR="001641CD">
        <w:rPr>
          <w:lang w:val="en-US"/>
        </w:rPr>
        <w:t>was</w:t>
      </w:r>
      <w:r>
        <w:rPr>
          <w:lang w:val="en-US"/>
        </w:rPr>
        <w:t xml:space="preserve"> declining. Do any two signal a problem? For example:</w:t>
      </w:r>
    </w:p>
    <w:p w14:paraId="0EA42BDA" w14:textId="77777777" w:rsidR="008E1869" w:rsidRDefault="008E1869" w:rsidP="008E1869">
      <w:pPr>
        <w:pStyle w:val="ListParagraph"/>
        <w:numPr>
          <w:ilvl w:val="0"/>
          <w:numId w:val="14"/>
        </w:numPr>
        <w:spacing w:after="160" w:line="259" w:lineRule="auto"/>
        <w:rPr>
          <w:lang w:val="en-US"/>
        </w:rPr>
      </w:pPr>
      <w:r w:rsidRPr="00D96E44">
        <w:rPr>
          <w:lang w:val="en-US"/>
        </w:rPr>
        <w:lastRenderedPageBreak/>
        <w:t>Financial planner + GP</w:t>
      </w:r>
    </w:p>
    <w:p w14:paraId="4B33126D" w14:textId="77777777" w:rsidR="001641CD" w:rsidRPr="00D96E44" w:rsidRDefault="001641CD" w:rsidP="008E1869">
      <w:pPr>
        <w:pStyle w:val="ListParagraph"/>
        <w:numPr>
          <w:ilvl w:val="0"/>
          <w:numId w:val="14"/>
        </w:numPr>
        <w:spacing w:after="160" w:line="259" w:lineRule="auto"/>
        <w:rPr>
          <w:lang w:val="en-US"/>
        </w:rPr>
      </w:pPr>
      <w:r>
        <w:rPr>
          <w:lang w:val="en-US"/>
        </w:rPr>
        <w:t>Repeated change of GP</w:t>
      </w:r>
    </w:p>
    <w:p w14:paraId="0156C8D7" w14:textId="77777777" w:rsidR="008E1869" w:rsidRPr="00D96E44" w:rsidRDefault="008E1869" w:rsidP="008E1869">
      <w:pPr>
        <w:pStyle w:val="ListParagraph"/>
        <w:numPr>
          <w:ilvl w:val="0"/>
          <w:numId w:val="14"/>
        </w:numPr>
        <w:spacing w:after="160" w:line="259" w:lineRule="auto"/>
        <w:rPr>
          <w:lang w:val="en-US"/>
        </w:rPr>
      </w:pPr>
      <w:r w:rsidRPr="00D96E44">
        <w:rPr>
          <w:lang w:val="en-US"/>
        </w:rPr>
        <w:t>ACAT + Speech Pathologist</w:t>
      </w:r>
    </w:p>
    <w:p w14:paraId="796384D1" w14:textId="77777777" w:rsidR="008E1869" w:rsidRDefault="008E1869" w:rsidP="008E1869">
      <w:pPr>
        <w:pStyle w:val="ListParagraph"/>
        <w:numPr>
          <w:ilvl w:val="0"/>
          <w:numId w:val="14"/>
        </w:numPr>
        <w:spacing w:after="160" w:line="259" w:lineRule="auto"/>
        <w:rPr>
          <w:lang w:val="en-US"/>
        </w:rPr>
      </w:pPr>
      <w:r w:rsidRPr="00D96E44">
        <w:rPr>
          <w:lang w:val="en-US"/>
        </w:rPr>
        <w:t>RHH Specialists + ACAT</w:t>
      </w:r>
    </w:p>
    <w:p w14:paraId="79EB4647" w14:textId="77777777" w:rsidR="008E1869" w:rsidRPr="00D96E44" w:rsidRDefault="008E1869" w:rsidP="008E1869">
      <w:pPr>
        <w:pStyle w:val="ListParagraph"/>
        <w:numPr>
          <w:ilvl w:val="0"/>
          <w:numId w:val="14"/>
        </w:numPr>
        <w:spacing w:after="160" w:line="259" w:lineRule="auto"/>
        <w:rPr>
          <w:lang w:val="en-US"/>
        </w:rPr>
      </w:pPr>
      <w:r>
        <w:rPr>
          <w:lang w:val="en-US"/>
        </w:rPr>
        <w:t>GP and non-follow-up of referral to podiatrist</w:t>
      </w:r>
    </w:p>
    <w:p w14:paraId="51F3FD04" w14:textId="5E6285C2" w:rsidR="008E1869" w:rsidRDefault="008E1869" w:rsidP="00B42ED9">
      <w:pPr>
        <w:rPr>
          <w:lang w:val="en-US"/>
        </w:rPr>
      </w:pPr>
      <w:r>
        <w:rPr>
          <w:lang w:val="en-US"/>
        </w:rPr>
        <w:t>A clear</w:t>
      </w:r>
      <w:r w:rsidR="00906651">
        <w:rPr>
          <w:lang w:val="en-US"/>
        </w:rPr>
        <w:t>ly problematic</w:t>
      </w:r>
      <w:r>
        <w:rPr>
          <w:lang w:val="en-US"/>
        </w:rPr>
        <w:t xml:space="preserve"> link in the chain is that the in-hospital assessment </w:t>
      </w:r>
      <w:r w:rsidR="001641CD">
        <w:rPr>
          <w:lang w:val="en-US"/>
        </w:rPr>
        <w:t xml:space="preserve">could </w:t>
      </w:r>
      <w:r>
        <w:rPr>
          <w:lang w:val="en-US"/>
        </w:rPr>
        <w:t xml:space="preserve">discover nothing about MM’s home circumstance nor about how her daughter </w:t>
      </w:r>
      <w:r w:rsidR="00906651">
        <w:rPr>
          <w:lang w:val="en-US"/>
        </w:rPr>
        <w:t>wa</w:t>
      </w:r>
      <w:r>
        <w:rPr>
          <w:lang w:val="en-US"/>
        </w:rPr>
        <w:t xml:space="preserve">s managing. Similarly, there were opportunities for the GP at </w:t>
      </w:r>
      <w:proofErr w:type="spellStart"/>
      <w:r>
        <w:rPr>
          <w:lang w:val="en-US"/>
        </w:rPr>
        <w:t>Taroona</w:t>
      </w:r>
      <w:proofErr w:type="spellEnd"/>
      <w:r>
        <w:rPr>
          <w:lang w:val="en-US"/>
        </w:rPr>
        <w:t xml:space="preserve"> to press the point (re podiatry, for example), but this did not happen. </w:t>
      </w:r>
      <w:r w:rsidR="002F3D5A">
        <w:rPr>
          <w:lang w:val="en-US"/>
        </w:rPr>
        <w:t xml:space="preserve">In August, 2009, when the GP provided information about palliative care and placement, was information about home care packages also offered? </w:t>
      </w:r>
      <w:r>
        <w:rPr>
          <w:lang w:val="en-US"/>
        </w:rPr>
        <w:t xml:space="preserve">Presumably the workload </w:t>
      </w:r>
      <w:r w:rsidR="001641CD">
        <w:rPr>
          <w:lang w:val="en-US"/>
        </w:rPr>
        <w:t xml:space="preserve">for most GPs </w:t>
      </w:r>
      <w:r>
        <w:rPr>
          <w:lang w:val="en-US"/>
        </w:rPr>
        <w:t xml:space="preserve">is such that unless an alert were to be put on MM’s file, no follow up would happen regarding whether the son-in-law had indeed called in the podiatrist he knew. </w:t>
      </w:r>
    </w:p>
    <w:p w14:paraId="183E5999" w14:textId="77777777" w:rsidR="008E1869" w:rsidRDefault="008E1869" w:rsidP="008E1869">
      <w:pPr>
        <w:rPr>
          <w:lang w:val="en-US"/>
        </w:rPr>
      </w:pPr>
      <w:r>
        <w:rPr>
          <w:lang w:val="en-US"/>
        </w:rPr>
        <w:t>When we look at the timeline, there are clusters of events and contacts with health and other professionals. These are:</w:t>
      </w:r>
    </w:p>
    <w:p w14:paraId="2AFFFF93" w14:textId="77777777" w:rsidR="008E1869" w:rsidRDefault="008E1869" w:rsidP="008E1869">
      <w:pPr>
        <w:pStyle w:val="ListParagraph"/>
        <w:numPr>
          <w:ilvl w:val="0"/>
          <w:numId w:val="15"/>
        </w:numPr>
        <w:spacing w:after="160" w:line="259" w:lineRule="auto"/>
        <w:rPr>
          <w:lang w:val="en-US"/>
        </w:rPr>
      </w:pPr>
      <w:r>
        <w:rPr>
          <w:lang w:val="en-US"/>
        </w:rPr>
        <w:t>When MM transferred NN title to daughter; stopped visiting NN GP</w:t>
      </w:r>
    </w:p>
    <w:p w14:paraId="39FC7EB3" w14:textId="77777777" w:rsidR="008E1869" w:rsidRDefault="008E1869" w:rsidP="008E1869">
      <w:pPr>
        <w:pStyle w:val="ListParagraph"/>
        <w:numPr>
          <w:ilvl w:val="0"/>
          <w:numId w:val="15"/>
        </w:numPr>
        <w:spacing w:after="160" w:line="259" w:lineRule="auto"/>
        <w:rPr>
          <w:lang w:val="en-US"/>
        </w:rPr>
      </w:pPr>
      <w:r>
        <w:rPr>
          <w:lang w:val="en-US"/>
        </w:rPr>
        <w:t>From the fall event to the discharge from Mary’s Grange</w:t>
      </w:r>
    </w:p>
    <w:p w14:paraId="269559C4" w14:textId="77777777" w:rsidR="008E1869" w:rsidRDefault="008E1869" w:rsidP="008E1869">
      <w:pPr>
        <w:pStyle w:val="ListParagraph"/>
        <w:numPr>
          <w:ilvl w:val="0"/>
          <w:numId w:val="15"/>
        </w:numPr>
        <w:spacing w:after="160" w:line="259" w:lineRule="auto"/>
        <w:rPr>
          <w:lang w:val="en-US"/>
        </w:rPr>
      </w:pPr>
      <w:r>
        <w:rPr>
          <w:lang w:val="en-US"/>
        </w:rPr>
        <w:t>When GP saw MM in car</w:t>
      </w:r>
    </w:p>
    <w:p w14:paraId="4AA18BA5" w14:textId="77777777" w:rsidR="008E1869" w:rsidRDefault="008E1869" w:rsidP="008E1869">
      <w:pPr>
        <w:pStyle w:val="ListParagraph"/>
        <w:numPr>
          <w:ilvl w:val="0"/>
          <w:numId w:val="15"/>
        </w:numPr>
        <w:spacing w:after="160" w:line="259" w:lineRule="auto"/>
        <w:rPr>
          <w:lang w:val="en-US"/>
        </w:rPr>
      </w:pPr>
      <w:r>
        <w:rPr>
          <w:lang w:val="en-US"/>
        </w:rPr>
        <w:t xml:space="preserve">When </w:t>
      </w:r>
      <w:r w:rsidR="001641CD">
        <w:rPr>
          <w:lang w:val="en-US"/>
        </w:rPr>
        <w:t xml:space="preserve">(same) </w:t>
      </w:r>
      <w:r>
        <w:rPr>
          <w:lang w:val="en-US"/>
        </w:rPr>
        <w:t>GP recommended podiatry</w:t>
      </w:r>
    </w:p>
    <w:p w14:paraId="327711CF" w14:textId="77777777" w:rsidR="008E1869" w:rsidRDefault="008E1869" w:rsidP="008E1869">
      <w:pPr>
        <w:pStyle w:val="ListParagraph"/>
        <w:numPr>
          <w:ilvl w:val="0"/>
          <w:numId w:val="15"/>
        </w:numPr>
        <w:spacing w:after="160" w:line="259" w:lineRule="auto"/>
        <w:rPr>
          <w:lang w:val="en-US"/>
        </w:rPr>
      </w:pPr>
      <w:r>
        <w:rPr>
          <w:lang w:val="en-US"/>
        </w:rPr>
        <w:t>Authority to Operate being given to daughter</w:t>
      </w:r>
    </w:p>
    <w:p w14:paraId="1CF2F603" w14:textId="5D62CB09" w:rsidR="008E1869" w:rsidRDefault="008E1869" w:rsidP="008E1869">
      <w:pPr>
        <w:pStyle w:val="ListParagraph"/>
        <w:numPr>
          <w:ilvl w:val="0"/>
          <w:numId w:val="15"/>
        </w:numPr>
        <w:spacing w:after="160" w:line="259" w:lineRule="auto"/>
        <w:rPr>
          <w:lang w:val="en-US"/>
        </w:rPr>
      </w:pPr>
      <w:r>
        <w:rPr>
          <w:lang w:val="en-US"/>
        </w:rPr>
        <w:t xml:space="preserve">Continuing withdrawals from MM’s accounts and property sales money not being deposited. </w:t>
      </w:r>
    </w:p>
    <w:p w14:paraId="2FD49354" w14:textId="7E1A33C9" w:rsidR="008E1869" w:rsidRDefault="008E1869" w:rsidP="008E1869">
      <w:pPr>
        <w:rPr>
          <w:lang w:val="en-US"/>
        </w:rPr>
      </w:pPr>
      <w:r>
        <w:rPr>
          <w:lang w:val="en-US"/>
        </w:rPr>
        <w:t xml:space="preserve">So, the GPs, the ACAT and Speech Pathologist, the Bank, the Financial Planner and the discharge planners at RHH and Mary’s Grange </w:t>
      </w:r>
      <w:r w:rsidR="00E55F08">
        <w:rPr>
          <w:lang w:val="en-US"/>
        </w:rPr>
        <w:t xml:space="preserve">could </w:t>
      </w:r>
      <w:r>
        <w:rPr>
          <w:lang w:val="en-US"/>
        </w:rPr>
        <w:t xml:space="preserve">all have raised the alarm. </w:t>
      </w:r>
    </w:p>
    <w:p w14:paraId="1916C119" w14:textId="663400CD" w:rsidR="0041296A" w:rsidRDefault="008E1869" w:rsidP="005A2C26">
      <w:r>
        <w:rPr>
          <w:lang w:val="en-US"/>
        </w:rPr>
        <w:t xml:space="preserve">ACAT, discharge planners or GP making a home visit </w:t>
      </w:r>
      <w:r w:rsidR="0041296A">
        <w:rPr>
          <w:lang w:val="en-US"/>
        </w:rPr>
        <w:t xml:space="preserve">– or at the very least conducting an interview with the patient and the proposed </w:t>
      </w:r>
      <w:proofErr w:type="spellStart"/>
      <w:r w:rsidR="0041296A">
        <w:rPr>
          <w:lang w:val="en-US"/>
        </w:rPr>
        <w:t>carers</w:t>
      </w:r>
      <w:proofErr w:type="spellEnd"/>
      <w:r w:rsidR="0041296A">
        <w:rPr>
          <w:lang w:val="en-US"/>
        </w:rPr>
        <w:t xml:space="preserve"> – would </w:t>
      </w:r>
      <w:r>
        <w:rPr>
          <w:lang w:val="en-US"/>
        </w:rPr>
        <w:t>possibly have alerted them to any problems.</w:t>
      </w:r>
      <w:r w:rsidR="0041296A">
        <w:rPr>
          <w:lang w:val="en-US"/>
        </w:rPr>
        <w:t xml:space="preserve"> </w:t>
      </w:r>
    </w:p>
    <w:p w14:paraId="2727B147" w14:textId="4C95C87C" w:rsidR="00B76111" w:rsidRDefault="008E1869">
      <w:r>
        <w:rPr>
          <w:lang w:val="en-US"/>
        </w:rPr>
        <w:t xml:space="preserve">The Bank may well have noticed what was happening, </w:t>
      </w:r>
      <w:r w:rsidR="0060443F">
        <w:rPr>
          <w:lang w:val="en-US"/>
        </w:rPr>
        <w:t xml:space="preserve">but appears </w:t>
      </w:r>
      <w:r>
        <w:rPr>
          <w:lang w:val="en-US"/>
        </w:rPr>
        <w:t xml:space="preserve">to have failed to give due care and attention to the matter of MM’s transfer of title to her daughter. Legal Secretary is the only person who did not think MM was probably incapable. Is it in the interests of the bank to be attentive to the capacity of the client? The other person who may have acted is the Financial Planner. </w:t>
      </w:r>
      <w:r w:rsidR="00E006FC">
        <w:rPr>
          <w:lang w:val="en-US"/>
        </w:rPr>
        <w:t>In this regard w</w:t>
      </w:r>
      <w:r w:rsidR="00B76111">
        <w:rPr>
          <w:lang w:val="en-US"/>
        </w:rPr>
        <w:t xml:space="preserve">e note that the </w:t>
      </w:r>
      <w:r w:rsidR="00B76111" w:rsidRPr="00465329">
        <w:t xml:space="preserve">Australian Law Reform Commission’s report (see response Q4, above) </w:t>
      </w:r>
      <w:r w:rsidR="00B76111">
        <w:t xml:space="preserve">made recommendations in relation to the </w:t>
      </w:r>
      <w:r w:rsidR="00B76111">
        <w:rPr>
          <w:i/>
        </w:rPr>
        <w:t>Code of Banking Practice</w:t>
      </w:r>
      <w:r w:rsidR="00E006FC">
        <w:t xml:space="preserve">, </w:t>
      </w:r>
      <w:r w:rsidR="00B76111">
        <w:t>guardianship and administration processes</w:t>
      </w:r>
      <w:r w:rsidR="00E006FC">
        <w:t xml:space="preserve">, and </w:t>
      </w:r>
      <w:r w:rsidR="00B76111">
        <w:t>measures in relation to social security benefits.</w:t>
      </w:r>
    </w:p>
    <w:p w14:paraId="3A909BC5" w14:textId="26ED7AD0" w:rsidR="007368C6" w:rsidRDefault="00E55F08">
      <w:pPr>
        <w:rPr>
          <w:rFonts w:cs="Times New Roman"/>
          <w:szCs w:val="24"/>
        </w:rPr>
      </w:pPr>
      <w:r>
        <w:rPr>
          <w:lang w:val="en-US"/>
        </w:rPr>
        <w:t>We also know nothing about what MM’s other child was saying or doing about her.</w:t>
      </w:r>
    </w:p>
    <w:p w14:paraId="050D35A0" w14:textId="087F5C68" w:rsidR="00B108C4" w:rsidRDefault="00B108C4" w:rsidP="00B108C4">
      <w:pPr>
        <w:pStyle w:val="Heading1"/>
      </w:pPr>
      <w:r>
        <w:lastRenderedPageBreak/>
        <w:t>Q.6</w:t>
      </w:r>
      <w:r>
        <w:tab/>
        <w:t>W</w:t>
      </w:r>
      <w:r w:rsidR="00906651">
        <w:t xml:space="preserve">ould/could the Guardianship and Administration Board have any role to play in intervening in Mrs </w:t>
      </w:r>
      <w:proofErr w:type="spellStart"/>
      <w:r w:rsidR="00906651">
        <w:t>Mackodzi’s</w:t>
      </w:r>
      <w:proofErr w:type="spellEnd"/>
      <w:r w:rsidR="00906651">
        <w:t xml:space="preserve"> situation? </w:t>
      </w:r>
    </w:p>
    <w:p w14:paraId="66CEF3B2" w14:textId="77777777" w:rsidR="00B108C4" w:rsidRDefault="00B108C4" w:rsidP="00B108C4">
      <w:pPr>
        <w:rPr>
          <w:b/>
          <w:bCs/>
          <w:sz w:val="28"/>
          <w:szCs w:val="28"/>
        </w:rPr>
      </w:pPr>
      <w:r w:rsidRPr="00DC09CE">
        <w:rPr>
          <w:rFonts w:eastAsia="Times New Roman" w:cs="Times New Roman"/>
          <w:noProof/>
          <w:szCs w:val="24"/>
          <w:lang w:eastAsia="en-AU"/>
        </w:rPr>
        <mc:AlternateContent>
          <mc:Choice Requires="wps">
            <w:drawing>
              <wp:anchor distT="0" distB="0" distL="114300" distR="114300" simplePos="0" relativeHeight="251659264" behindDoc="0" locked="0" layoutInCell="1" allowOverlap="1" wp14:anchorId="4AA59B02" wp14:editId="4E38666E">
                <wp:simplePos x="0" y="0"/>
                <wp:positionH relativeFrom="column">
                  <wp:posOffset>65405</wp:posOffset>
                </wp:positionH>
                <wp:positionV relativeFrom="paragraph">
                  <wp:posOffset>107950</wp:posOffset>
                </wp:positionV>
                <wp:extent cx="5942965" cy="3504565"/>
                <wp:effectExtent l="0" t="0" r="1968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3504565"/>
                        </a:xfrm>
                        <a:prstGeom prst="rect">
                          <a:avLst/>
                        </a:prstGeom>
                        <a:solidFill>
                          <a:srgbClr val="FFFFFF"/>
                        </a:solidFill>
                        <a:ln w="9525">
                          <a:solidFill>
                            <a:srgbClr val="000000"/>
                          </a:solidFill>
                          <a:miter lim="800000"/>
                          <a:headEnd/>
                          <a:tailEnd/>
                        </a:ln>
                      </wps:spPr>
                      <wps:txbx>
                        <w:txbxContent>
                          <w:p w14:paraId="4EC65A8D" w14:textId="77777777" w:rsidR="005A2C26" w:rsidRDefault="005A2C26" w:rsidP="00B108C4">
                            <w:pPr>
                              <w:spacing w:line="276" w:lineRule="auto"/>
                              <w:rPr>
                                <w:rFonts w:eastAsia="Times New Roman" w:cs="Times New Roman"/>
                                <w:szCs w:val="24"/>
                                <w:lang w:val="en-US"/>
                              </w:rPr>
                            </w:pPr>
                            <w:r>
                              <w:rPr>
                                <w:rFonts w:eastAsia="Times New Roman" w:cs="Times New Roman"/>
                                <w:szCs w:val="24"/>
                                <w:lang w:val="en-US"/>
                              </w:rPr>
                              <w:t>Examination of the relevant facts in Mrs. Mackozdi’s situation demonstrates that both her daughter and son-in-law would have met the criteria for satisfying the role of ‘person responsible’ as defined in the Act, and had they applied to the Board for an Order for legal guardianship or administration, this would have, in every probability, been ordered.</w:t>
                            </w:r>
                          </w:p>
                          <w:p w14:paraId="707F2000" w14:textId="77777777" w:rsidR="005A2C26" w:rsidRDefault="005A2C26" w:rsidP="00B108C4">
                            <w:pPr>
                              <w:spacing w:line="276" w:lineRule="auto"/>
                              <w:rPr>
                                <w:rFonts w:cs="Times New Roman"/>
                                <w:szCs w:val="24"/>
                              </w:rPr>
                            </w:pPr>
                            <w:r>
                              <w:rPr>
                                <w:rFonts w:cs="Times New Roman"/>
                                <w:szCs w:val="24"/>
                              </w:rPr>
                              <w:t xml:space="preserve">While the Act does allow for urgent intervention (Ss.29 and 30), there are no facts here to suggest that an application by a third party to the Board for Mrs Mackozdi’s removal was warranted, or that a guardianship application would be successful.  In fact, the contrary appears to be the case, in that the GP thought ‘the daughter was doing a very good job to care for someone so highly dependent.’ </w:t>
                            </w:r>
                          </w:p>
                          <w:p w14:paraId="6A8B84A7" w14:textId="77777777" w:rsidR="005A2C26" w:rsidRPr="00DC09CE" w:rsidRDefault="005A2C26" w:rsidP="00B108C4">
                            <w:pPr>
                              <w:spacing w:line="276" w:lineRule="auto"/>
                              <w:rPr>
                                <w:rFonts w:cs="Times New Roman"/>
                                <w:szCs w:val="24"/>
                              </w:rPr>
                            </w:pPr>
                            <w:r>
                              <w:rPr>
                                <w:rFonts w:cs="Times New Roman"/>
                                <w:szCs w:val="24"/>
                              </w:rPr>
                              <w:t xml:space="preserve">With regard to the use of Mrs Mackozdi’s monies, a third party application for administration of her finances could have been made at any time that a party reasonably suspected that her daughter was dealing with Mrs Mackozdi’s monies without her consent. The Board, however, has no present power to recoup lost monies.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A59B02" id="_x0000_t202" coordsize="21600,21600" o:spt="202" path="m,l,21600r21600,l21600,xe">
                <v:stroke joinstyle="miter"/>
                <v:path gradientshapeok="t" o:connecttype="rect"/>
              </v:shapetype>
              <v:shape id="Text Box 2" o:spid="_x0000_s1026" type="#_x0000_t202" style="position:absolute;margin-left:5.15pt;margin-top:8.5pt;width:467.95pt;height:27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">
                <v:textbox style="mso-fit-shape-to-text:t">
                  <w:txbxContent>
                    <w:p w14:paraId="4EC65A8D" w14:textId="77777777" w:rsidR="005A2C26" w:rsidRDefault="005A2C26" w:rsidP="00B108C4">
                      <w:pPr>
                        <w:spacing w:line="276" w:lineRule="auto"/>
                        <w:rPr>
                          <w:rFonts w:eastAsia="Times New Roman" w:cs="Times New Roman"/>
                          <w:szCs w:val="24"/>
                          <w:lang w:val="en-US"/>
                        </w:rPr>
                      </w:pPr>
                      <w:r>
                        <w:rPr>
                          <w:rFonts w:eastAsia="Times New Roman" w:cs="Times New Roman"/>
                          <w:szCs w:val="24"/>
                          <w:lang w:val="en-US"/>
                        </w:rPr>
                        <w:t>Examination of the relevant facts in Mrs. Mackozdi’s situation demonstrates that both her daughter and son-in-law would have met the criteria for satisfying the role of ‘person responsible’ as defined in the Act, and had they applied to the Board for an Order for legal guardianship or administration, this would have, in every probability, been ordered.</w:t>
                      </w:r>
                    </w:p>
                    <w:p w14:paraId="707F2000" w14:textId="77777777" w:rsidR="005A2C26" w:rsidRDefault="005A2C26" w:rsidP="00B108C4">
                      <w:pPr>
                        <w:spacing w:line="276" w:lineRule="auto"/>
                        <w:rPr>
                          <w:rFonts w:cs="Times New Roman"/>
                          <w:szCs w:val="24"/>
                        </w:rPr>
                      </w:pPr>
                      <w:r>
                        <w:rPr>
                          <w:rFonts w:cs="Times New Roman"/>
                          <w:szCs w:val="24"/>
                        </w:rPr>
                        <w:t xml:space="preserve">While the Act does allow for urgent intervention (Ss.29 and 30), there are no facts here to suggest that an application by a third party to the Board for Mrs Mackozdi’s removal was warranted, or that a guardianship application would be successful.  In fact, the contrary appears to be the case, in that the GP thought ‘the daughter was doing a very good job to care for someone so highly dependent.’ </w:t>
                      </w:r>
                    </w:p>
                    <w:p w14:paraId="6A8B84A7" w14:textId="77777777" w:rsidR="005A2C26" w:rsidRPr="00DC09CE" w:rsidRDefault="005A2C26" w:rsidP="00B108C4">
                      <w:pPr>
                        <w:spacing w:line="276" w:lineRule="auto"/>
                        <w:rPr>
                          <w:rFonts w:cs="Times New Roman"/>
                          <w:szCs w:val="24"/>
                        </w:rPr>
                      </w:pPr>
                      <w:r>
                        <w:rPr>
                          <w:rFonts w:cs="Times New Roman"/>
                          <w:szCs w:val="24"/>
                        </w:rPr>
                        <w:t xml:space="preserve">With regard to the use of Mrs Mackozdi’s monies, a third party application for administration of her finances could have been made at any time that a party reasonably suspected that her daughter was dealing with Mrs Mackozdi’s monies without her consent. The Board, however, has no present power to recoup lost monies. </w:t>
                      </w:r>
                    </w:p>
                  </w:txbxContent>
                </v:textbox>
              </v:shape>
            </w:pict>
          </mc:Fallback>
        </mc:AlternateContent>
      </w:r>
    </w:p>
    <w:p w14:paraId="2C67D2D3" w14:textId="77777777" w:rsidR="00B108C4" w:rsidRDefault="00B108C4" w:rsidP="00B108C4">
      <w:pPr>
        <w:spacing w:line="276" w:lineRule="auto"/>
        <w:rPr>
          <w:rFonts w:eastAsia="Times New Roman" w:cs="Times New Roman"/>
          <w:szCs w:val="24"/>
        </w:rPr>
      </w:pPr>
    </w:p>
    <w:p w14:paraId="260FB65B" w14:textId="77777777" w:rsidR="00B108C4" w:rsidRDefault="00B108C4" w:rsidP="00B108C4">
      <w:pPr>
        <w:spacing w:line="276" w:lineRule="auto"/>
        <w:rPr>
          <w:rFonts w:eastAsia="Times New Roman" w:cstheme="minorHAnsi"/>
          <w:b/>
          <w:sz w:val="28"/>
          <w:szCs w:val="28"/>
        </w:rPr>
      </w:pPr>
    </w:p>
    <w:p w14:paraId="43D38265" w14:textId="77777777" w:rsidR="00B108C4" w:rsidRDefault="00B108C4" w:rsidP="00B108C4">
      <w:pPr>
        <w:spacing w:line="276" w:lineRule="auto"/>
        <w:rPr>
          <w:rFonts w:eastAsia="Times New Roman" w:cstheme="minorHAnsi"/>
          <w:b/>
          <w:sz w:val="28"/>
          <w:szCs w:val="28"/>
        </w:rPr>
      </w:pPr>
    </w:p>
    <w:p w14:paraId="243E4585" w14:textId="77777777" w:rsidR="00B108C4" w:rsidRDefault="00B108C4" w:rsidP="00B108C4">
      <w:pPr>
        <w:spacing w:line="276" w:lineRule="auto"/>
        <w:rPr>
          <w:rFonts w:eastAsia="Times New Roman" w:cstheme="minorHAnsi"/>
          <w:b/>
          <w:sz w:val="28"/>
          <w:szCs w:val="28"/>
        </w:rPr>
      </w:pPr>
    </w:p>
    <w:p w14:paraId="03FDB738" w14:textId="77777777" w:rsidR="00B108C4" w:rsidRDefault="00B108C4" w:rsidP="00B108C4">
      <w:pPr>
        <w:spacing w:line="276" w:lineRule="auto"/>
        <w:rPr>
          <w:rFonts w:eastAsia="Times New Roman" w:cstheme="minorHAnsi"/>
          <w:b/>
          <w:sz w:val="28"/>
          <w:szCs w:val="28"/>
        </w:rPr>
      </w:pPr>
    </w:p>
    <w:p w14:paraId="376A7FCA" w14:textId="77777777" w:rsidR="00B108C4" w:rsidRDefault="00B108C4" w:rsidP="00B108C4">
      <w:pPr>
        <w:spacing w:line="276" w:lineRule="auto"/>
        <w:rPr>
          <w:rFonts w:eastAsia="Times New Roman" w:cstheme="minorHAnsi"/>
          <w:b/>
          <w:sz w:val="28"/>
          <w:szCs w:val="28"/>
        </w:rPr>
      </w:pPr>
    </w:p>
    <w:p w14:paraId="0BB534D0" w14:textId="77777777" w:rsidR="00B108C4" w:rsidRDefault="00B108C4" w:rsidP="00B108C4">
      <w:pPr>
        <w:spacing w:line="276" w:lineRule="auto"/>
        <w:rPr>
          <w:rFonts w:eastAsia="Times New Roman" w:cstheme="minorHAnsi"/>
          <w:b/>
          <w:sz w:val="28"/>
          <w:szCs w:val="28"/>
        </w:rPr>
      </w:pPr>
    </w:p>
    <w:p w14:paraId="41B7CD87" w14:textId="77777777" w:rsidR="00B108C4" w:rsidRDefault="00B108C4" w:rsidP="00B108C4">
      <w:pPr>
        <w:spacing w:line="276" w:lineRule="auto"/>
        <w:rPr>
          <w:rFonts w:eastAsia="Times New Roman" w:cstheme="minorHAnsi"/>
          <w:b/>
          <w:sz w:val="28"/>
          <w:szCs w:val="28"/>
        </w:rPr>
      </w:pPr>
    </w:p>
    <w:p w14:paraId="43549633" w14:textId="77777777" w:rsidR="00B108C4" w:rsidRDefault="00B108C4" w:rsidP="00B108C4">
      <w:pPr>
        <w:spacing w:line="276" w:lineRule="auto"/>
        <w:rPr>
          <w:rFonts w:eastAsia="Times New Roman" w:cstheme="minorHAnsi"/>
          <w:b/>
          <w:sz w:val="28"/>
          <w:szCs w:val="28"/>
        </w:rPr>
      </w:pPr>
    </w:p>
    <w:p w14:paraId="5A6F742A" w14:textId="77777777" w:rsidR="00B108C4" w:rsidRDefault="00B108C4" w:rsidP="00B108C4">
      <w:pPr>
        <w:spacing w:line="276" w:lineRule="auto"/>
        <w:rPr>
          <w:rFonts w:eastAsia="Times New Roman" w:cstheme="minorHAnsi"/>
          <w:b/>
          <w:sz w:val="28"/>
          <w:szCs w:val="28"/>
        </w:rPr>
      </w:pPr>
    </w:p>
    <w:p w14:paraId="00C849DA" w14:textId="10BE831D" w:rsidR="00B108C4" w:rsidRPr="00DC09CE" w:rsidRDefault="00B108C4" w:rsidP="00465329">
      <w:pPr>
        <w:pStyle w:val="Heading2"/>
        <w:rPr>
          <w:rFonts w:eastAsia="Times New Roman"/>
        </w:rPr>
      </w:pPr>
      <w:r w:rsidRPr="00DC09CE">
        <w:rPr>
          <w:rFonts w:eastAsia="Times New Roman"/>
        </w:rPr>
        <w:t>T</w:t>
      </w:r>
      <w:r w:rsidR="00906651">
        <w:rPr>
          <w:rFonts w:eastAsia="Times New Roman"/>
        </w:rPr>
        <w:t>he role of the family in supported decision-making</w:t>
      </w:r>
    </w:p>
    <w:p w14:paraId="1EC5D477" w14:textId="77777777" w:rsidR="00B108C4" w:rsidRPr="008A2691" w:rsidRDefault="00B108C4" w:rsidP="00B108C4">
      <w:pPr>
        <w:spacing w:line="276" w:lineRule="auto"/>
        <w:rPr>
          <w:rFonts w:eastAsia="Times New Roman" w:cs="Times New Roman"/>
          <w:szCs w:val="24"/>
        </w:rPr>
      </w:pPr>
      <w:r>
        <w:rPr>
          <w:rFonts w:cs="Times New Roman"/>
          <w:szCs w:val="24"/>
        </w:rPr>
        <w:t>While h</w:t>
      </w:r>
      <w:r w:rsidRPr="00A65D08">
        <w:rPr>
          <w:rFonts w:cs="Times New Roman"/>
          <w:szCs w:val="24"/>
        </w:rPr>
        <w:t xml:space="preserve">ealthcare decision-making has traditionally focused on individual autonomy, there is now a change occurring in which the involvement of families is gaining prominence. This appears to stem from an increasing emphasis on relational aspects of autonomy which recognises the individual's connectedness to their family, and also </w:t>
      </w:r>
      <w:r>
        <w:rPr>
          <w:rFonts w:cs="Times New Roman"/>
          <w:szCs w:val="24"/>
        </w:rPr>
        <w:t xml:space="preserve">the </w:t>
      </w:r>
      <w:r w:rsidRPr="00A65D08">
        <w:rPr>
          <w:rFonts w:cs="Times New Roman"/>
          <w:szCs w:val="24"/>
        </w:rPr>
        <w:t>state</w:t>
      </w:r>
      <w:r>
        <w:rPr>
          <w:rFonts w:cs="Times New Roman"/>
          <w:szCs w:val="24"/>
        </w:rPr>
        <w:t>’s</w:t>
      </w:r>
      <w:r w:rsidRPr="00A65D08">
        <w:rPr>
          <w:rFonts w:cs="Times New Roman"/>
          <w:szCs w:val="24"/>
        </w:rPr>
        <w:t xml:space="preserve"> reliance upon families to share the burdens and costs of caring for elderly and disabled dependents. </w:t>
      </w:r>
      <w:r>
        <w:rPr>
          <w:rFonts w:cs="Times New Roman"/>
          <w:szCs w:val="24"/>
        </w:rPr>
        <w:t xml:space="preserve">It places </w:t>
      </w:r>
      <w:r w:rsidRPr="00A65D08">
        <w:rPr>
          <w:rFonts w:cs="Times New Roman"/>
          <w:szCs w:val="24"/>
        </w:rPr>
        <w:t>emphasis on patient autonomy as understood in relational terms</w:t>
      </w:r>
      <w:r>
        <w:rPr>
          <w:rFonts w:cs="Times New Roman"/>
          <w:szCs w:val="24"/>
        </w:rPr>
        <w:t xml:space="preserve">, offering </w:t>
      </w:r>
      <w:r w:rsidRPr="00A65D08">
        <w:rPr>
          <w:rFonts w:cs="Times New Roman"/>
          <w:szCs w:val="24"/>
        </w:rPr>
        <w:t>more adequate conceptions of independence, confidentiality and decision-making authority</w:t>
      </w:r>
      <w:r>
        <w:rPr>
          <w:rFonts w:cs="Times New Roman"/>
          <w:szCs w:val="24"/>
        </w:rPr>
        <w:t>.</w:t>
      </w:r>
      <w:r w:rsidRPr="00A65D08">
        <w:rPr>
          <w:rFonts w:cs="Times New Roman"/>
          <w:szCs w:val="24"/>
        </w:rPr>
        <w:t xml:space="preserve"> </w:t>
      </w:r>
    </w:p>
    <w:p w14:paraId="5FC85E9E" w14:textId="77777777" w:rsidR="00B108C4" w:rsidRDefault="00B108C4" w:rsidP="00B108C4">
      <w:pPr>
        <w:spacing w:line="276" w:lineRule="auto"/>
        <w:rPr>
          <w:rFonts w:eastAsia="Times New Roman" w:cs="Times New Roman"/>
          <w:szCs w:val="24"/>
        </w:rPr>
      </w:pPr>
      <w:r>
        <w:rPr>
          <w:rFonts w:eastAsia="Times New Roman" w:cs="Times New Roman"/>
          <w:szCs w:val="24"/>
        </w:rPr>
        <w:t>The</w:t>
      </w:r>
      <w:r w:rsidRPr="006F4DC3">
        <w:rPr>
          <w:rFonts w:eastAsia="Times New Roman" w:cs="Times New Roman"/>
          <w:szCs w:val="24"/>
        </w:rPr>
        <w:t xml:space="preserve"> C</w:t>
      </w:r>
      <w:r w:rsidRPr="00A65D08">
        <w:rPr>
          <w:rFonts w:eastAsia="Times New Roman" w:cs="Times New Roman"/>
          <w:szCs w:val="24"/>
        </w:rPr>
        <w:t xml:space="preserve">onvention of the </w:t>
      </w:r>
      <w:r w:rsidRPr="006F4DC3">
        <w:rPr>
          <w:rFonts w:eastAsia="Times New Roman" w:cs="Times New Roman"/>
          <w:szCs w:val="24"/>
        </w:rPr>
        <w:t>R</w:t>
      </w:r>
      <w:r w:rsidRPr="00A65D08">
        <w:rPr>
          <w:rFonts w:eastAsia="Times New Roman" w:cs="Times New Roman"/>
          <w:szCs w:val="24"/>
        </w:rPr>
        <w:t xml:space="preserve">ights of </w:t>
      </w:r>
      <w:r w:rsidRPr="006F4DC3">
        <w:rPr>
          <w:rFonts w:eastAsia="Times New Roman" w:cs="Times New Roman"/>
          <w:szCs w:val="24"/>
        </w:rPr>
        <w:t>P</w:t>
      </w:r>
      <w:r w:rsidRPr="00A65D08">
        <w:rPr>
          <w:rFonts w:eastAsia="Times New Roman" w:cs="Times New Roman"/>
          <w:szCs w:val="24"/>
        </w:rPr>
        <w:t xml:space="preserve">eople with </w:t>
      </w:r>
      <w:r w:rsidRPr="006F4DC3">
        <w:rPr>
          <w:rFonts w:eastAsia="Times New Roman" w:cs="Times New Roman"/>
          <w:szCs w:val="24"/>
        </w:rPr>
        <w:t>D</w:t>
      </w:r>
      <w:r w:rsidRPr="00A65D08">
        <w:rPr>
          <w:rFonts w:eastAsia="Times New Roman" w:cs="Times New Roman"/>
          <w:szCs w:val="24"/>
        </w:rPr>
        <w:t>isabilities</w:t>
      </w:r>
      <w:r>
        <w:rPr>
          <w:rFonts w:eastAsia="Times New Roman" w:cs="Times New Roman"/>
          <w:szCs w:val="24"/>
        </w:rPr>
        <w:t xml:space="preserve"> strongly favours</w:t>
      </w:r>
      <w:r w:rsidRPr="00A65D08">
        <w:rPr>
          <w:rFonts w:eastAsia="Times New Roman" w:cs="Times New Roman"/>
          <w:szCs w:val="24"/>
        </w:rPr>
        <w:t xml:space="preserve"> </w:t>
      </w:r>
      <w:r>
        <w:rPr>
          <w:rFonts w:eastAsia="Times New Roman" w:cs="Times New Roman"/>
          <w:szCs w:val="24"/>
        </w:rPr>
        <w:t xml:space="preserve">supported decision-making </w:t>
      </w:r>
      <w:r w:rsidRPr="00A65D08">
        <w:rPr>
          <w:rFonts w:eastAsia="Times New Roman" w:cs="Times New Roman"/>
          <w:szCs w:val="24"/>
        </w:rPr>
        <w:t>over substitute decisi</w:t>
      </w:r>
      <w:r w:rsidRPr="006F4DC3">
        <w:rPr>
          <w:rFonts w:eastAsia="Times New Roman" w:cs="Times New Roman"/>
          <w:szCs w:val="24"/>
        </w:rPr>
        <w:t xml:space="preserve">on-making models traditionally adopted </w:t>
      </w:r>
      <w:r>
        <w:rPr>
          <w:rFonts w:eastAsia="Times New Roman" w:cs="Times New Roman"/>
          <w:szCs w:val="24"/>
        </w:rPr>
        <w:t xml:space="preserve">by adult guardianship laws, </w:t>
      </w:r>
      <w:r w:rsidRPr="006F4DC3">
        <w:rPr>
          <w:rFonts w:eastAsia="Times New Roman" w:cs="Times New Roman"/>
          <w:szCs w:val="24"/>
        </w:rPr>
        <w:t>principally because it gives effec</w:t>
      </w:r>
      <w:r>
        <w:rPr>
          <w:rFonts w:eastAsia="Times New Roman" w:cs="Times New Roman"/>
          <w:szCs w:val="24"/>
        </w:rPr>
        <w:t>t to the equality principle in A</w:t>
      </w:r>
      <w:r w:rsidRPr="006F4DC3">
        <w:rPr>
          <w:rFonts w:eastAsia="Times New Roman" w:cs="Times New Roman"/>
          <w:szCs w:val="24"/>
        </w:rPr>
        <w:t>rticle 12.</w:t>
      </w:r>
      <w:r w:rsidRPr="00A65D08">
        <w:rPr>
          <w:rFonts w:eastAsia="Times New Roman" w:cs="Times New Roman"/>
          <w:szCs w:val="24"/>
        </w:rPr>
        <w:t xml:space="preserve"> </w:t>
      </w:r>
      <w:r>
        <w:rPr>
          <w:rFonts w:eastAsia="Times New Roman" w:cs="Times New Roman"/>
          <w:szCs w:val="24"/>
        </w:rPr>
        <w:t xml:space="preserve"> S</w:t>
      </w:r>
      <w:r w:rsidRPr="006F4DC3">
        <w:rPr>
          <w:rFonts w:eastAsia="Times New Roman" w:cs="Times New Roman"/>
          <w:szCs w:val="24"/>
        </w:rPr>
        <w:t>upported decision-making</w:t>
      </w:r>
      <w:r>
        <w:rPr>
          <w:rFonts w:eastAsia="Times New Roman" w:cs="Times New Roman"/>
          <w:szCs w:val="24"/>
        </w:rPr>
        <w:t>,</w:t>
      </w:r>
      <w:r w:rsidRPr="006F4DC3">
        <w:rPr>
          <w:rFonts w:eastAsia="Times New Roman" w:cs="Times New Roman"/>
          <w:szCs w:val="24"/>
        </w:rPr>
        <w:t xml:space="preserve"> ‘simply recognizes the way in which most adults function in their everyday lives’</w:t>
      </w:r>
      <w:r w:rsidRPr="00A65D08">
        <w:rPr>
          <w:rStyle w:val="FootnoteReference"/>
          <w:rFonts w:eastAsia="Times New Roman" w:cs="Times New Roman"/>
          <w:szCs w:val="24"/>
        </w:rPr>
        <w:footnoteReference w:id="38"/>
      </w:r>
      <w:r w:rsidRPr="00A65D08">
        <w:rPr>
          <w:rFonts w:eastAsia="Times New Roman" w:cs="Times New Roman"/>
          <w:szCs w:val="24"/>
        </w:rPr>
        <w:t xml:space="preserve"> </w:t>
      </w:r>
      <w:r w:rsidRPr="006F4DC3">
        <w:rPr>
          <w:rFonts w:eastAsia="Times New Roman" w:cs="Times New Roman"/>
          <w:szCs w:val="24"/>
        </w:rPr>
        <w:t xml:space="preserve">through interdependent decision-making which </w:t>
      </w:r>
      <w:r>
        <w:rPr>
          <w:rFonts w:eastAsia="Times New Roman" w:cs="Times New Roman"/>
          <w:szCs w:val="24"/>
        </w:rPr>
        <w:t>assembles</w:t>
      </w:r>
      <w:r w:rsidRPr="006F4DC3">
        <w:rPr>
          <w:rFonts w:eastAsia="Times New Roman" w:cs="Times New Roman"/>
          <w:szCs w:val="24"/>
        </w:rPr>
        <w:t xml:space="preserve"> available advice and support</w:t>
      </w:r>
      <w:r>
        <w:rPr>
          <w:rFonts w:eastAsia="Times New Roman" w:cs="Times New Roman"/>
          <w:szCs w:val="24"/>
        </w:rPr>
        <w:t xml:space="preserve"> from their social </w:t>
      </w:r>
      <w:r w:rsidRPr="006F4DC3">
        <w:rPr>
          <w:rFonts w:eastAsia="Times New Roman" w:cs="Times New Roman"/>
          <w:szCs w:val="24"/>
        </w:rPr>
        <w:t>networks</w:t>
      </w:r>
      <w:r w:rsidRPr="00A65D08">
        <w:rPr>
          <w:rFonts w:eastAsia="Times New Roman" w:cs="Times New Roman"/>
          <w:szCs w:val="24"/>
        </w:rPr>
        <w:t xml:space="preserve"> </w:t>
      </w:r>
      <w:r w:rsidRPr="006F4DC3">
        <w:rPr>
          <w:rFonts w:eastAsia="Times New Roman" w:cs="Times New Roman"/>
          <w:szCs w:val="24"/>
        </w:rPr>
        <w:t xml:space="preserve">of family members, friends and others </w:t>
      </w:r>
      <w:r>
        <w:rPr>
          <w:rFonts w:eastAsia="Times New Roman" w:cs="Times New Roman"/>
          <w:szCs w:val="24"/>
        </w:rPr>
        <w:t xml:space="preserve">who </w:t>
      </w:r>
      <w:r w:rsidRPr="006F4DC3">
        <w:rPr>
          <w:rFonts w:eastAsia="Times New Roman" w:cs="Times New Roman"/>
          <w:szCs w:val="24"/>
        </w:rPr>
        <w:t xml:space="preserve">assist </w:t>
      </w:r>
      <w:r>
        <w:rPr>
          <w:rFonts w:eastAsia="Times New Roman" w:cs="Times New Roman"/>
          <w:szCs w:val="24"/>
        </w:rPr>
        <w:t xml:space="preserve">them </w:t>
      </w:r>
      <w:r w:rsidRPr="006F4DC3">
        <w:rPr>
          <w:rFonts w:eastAsia="Times New Roman" w:cs="Times New Roman"/>
          <w:szCs w:val="24"/>
        </w:rPr>
        <w:t>in vari</w:t>
      </w:r>
      <w:r>
        <w:rPr>
          <w:rFonts w:eastAsia="Times New Roman" w:cs="Times New Roman"/>
          <w:szCs w:val="24"/>
        </w:rPr>
        <w:t>ous degrees at different times. These</w:t>
      </w:r>
      <w:r w:rsidRPr="006F4DC3">
        <w:rPr>
          <w:rFonts w:eastAsia="Times New Roman" w:cs="Times New Roman"/>
          <w:szCs w:val="24"/>
        </w:rPr>
        <w:t xml:space="preserve"> processes do not require legislative provision for their implementation but </w:t>
      </w:r>
      <w:r w:rsidRPr="006F4DC3">
        <w:rPr>
          <w:rFonts w:eastAsia="Times New Roman" w:cs="Times New Roman"/>
          <w:szCs w:val="24"/>
        </w:rPr>
        <w:lastRenderedPageBreak/>
        <w:t xml:space="preserve">rather are contingent on the policies and practices of services, agencies and institutions that interact with the needs of people with impaired </w:t>
      </w:r>
      <w:r>
        <w:rPr>
          <w:rFonts w:eastAsia="Times New Roman" w:cs="Times New Roman"/>
          <w:szCs w:val="24"/>
        </w:rPr>
        <w:t>decision-making ability</w:t>
      </w:r>
      <w:r w:rsidRPr="006F4DC3">
        <w:rPr>
          <w:rFonts w:eastAsia="Times New Roman" w:cs="Times New Roman"/>
          <w:szCs w:val="24"/>
        </w:rPr>
        <w:t xml:space="preserve"> including the </w:t>
      </w:r>
      <w:r>
        <w:rPr>
          <w:rFonts w:eastAsia="Times New Roman" w:cs="Times New Roman"/>
          <w:szCs w:val="24"/>
        </w:rPr>
        <w:t>aged</w:t>
      </w:r>
      <w:r w:rsidRPr="006F4DC3">
        <w:rPr>
          <w:rFonts w:eastAsia="Times New Roman" w:cs="Times New Roman"/>
          <w:szCs w:val="24"/>
        </w:rPr>
        <w:t xml:space="preserve">. </w:t>
      </w:r>
      <w:r w:rsidRPr="00A65D08">
        <w:rPr>
          <w:rStyle w:val="FootnoteReference"/>
          <w:rFonts w:eastAsia="Times New Roman" w:cs="Times New Roman"/>
          <w:szCs w:val="24"/>
        </w:rPr>
        <w:footnoteReference w:id="39"/>
      </w:r>
      <w:r>
        <w:rPr>
          <w:rFonts w:eastAsia="Times New Roman" w:cs="Times New Roman"/>
          <w:szCs w:val="24"/>
        </w:rPr>
        <w:t xml:space="preserve"> </w:t>
      </w:r>
    </w:p>
    <w:p w14:paraId="27AB1878" w14:textId="77777777" w:rsidR="00B108C4" w:rsidRPr="00FA49A4" w:rsidRDefault="00B108C4" w:rsidP="00465329">
      <w:pPr>
        <w:pStyle w:val="Heading2"/>
      </w:pPr>
      <w:r>
        <w:t>Guardianship and Administration Board</w:t>
      </w:r>
    </w:p>
    <w:p w14:paraId="69D6844A" w14:textId="77777777" w:rsidR="00B108C4" w:rsidRPr="00AE708A" w:rsidRDefault="00B108C4" w:rsidP="00B108C4">
      <w:pPr>
        <w:spacing w:line="276" w:lineRule="auto"/>
        <w:rPr>
          <w:rFonts w:eastAsia="Times New Roman" w:cs="Times New Roman"/>
          <w:szCs w:val="24"/>
        </w:rPr>
      </w:pPr>
      <w:r>
        <w:rPr>
          <w:rFonts w:eastAsia="Times New Roman" w:cs="Times New Roman"/>
          <w:szCs w:val="24"/>
        </w:rPr>
        <w:t>S</w:t>
      </w:r>
      <w:r w:rsidRPr="007E78E5">
        <w:rPr>
          <w:rFonts w:eastAsia="Times New Roman" w:cs="Times New Roman"/>
          <w:szCs w:val="24"/>
        </w:rPr>
        <w:t xml:space="preserve">ubstituted decision making </w:t>
      </w:r>
      <w:r w:rsidRPr="00D9471F">
        <w:rPr>
          <w:rFonts w:eastAsia="Times New Roman" w:cs="Times New Roman"/>
          <w:szCs w:val="24"/>
        </w:rPr>
        <w:t xml:space="preserve">is a </w:t>
      </w:r>
      <w:r>
        <w:rPr>
          <w:rFonts w:eastAsia="Times New Roman" w:cs="Times New Roman"/>
          <w:szCs w:val="24"/>
        </w:rPr>
        <w:t xml:space="preserve">now </w:t>
      </w:r>
      <w:r w:rsidRPr="00D9471F">
        <w:rPr>
          <w:rFonts w:eastAsia="Times New Roman" w:cs="Times New Roman"/>
          <w:szCs w:val="24"/>
        </w:rPr>
        <w:t xml:space="preserve">dated legal </w:t>
      </w:r>
      <w:r w:rsidRPr="007E78E5">
        <w:rPr>
          <w:rFonts w:eastAsia="Times New Roman" w:cs="Times New Roman"/>
          <w:szCs w:val="24"/>
        </w:rPr>
        <w:t>concept</w:t>
      </w:r>
      <w:r w:rsidRPr="00D9471F">
        <w:rPr>
          <w:rFonts w:eastAsia="Times New Roman" w:cs="Times New Roman"/>
          <w:szCs w:val="24"/>
        </w:rPr>
        <w:t xml:space="preserve">, most directly covered in </w:t>
      </w:r>
      <w:r>
        <w:rPr>
          <w:rFonts w:eastAsia="Times New Roman" w:cs="Times New Roman"/>
          <w:szCs w:val="24"/>
        </w:rPr>
        <w:t xml:space="preserve">a </w:t>
      </w:r>
      <w:r w:rsidRPr="00D9471F">
        <w:rPr>
          <w:rFonts w:eastAsia="Times New Roman" w:cs="Times New Roman"/>
          <w:szCs w:val="24"/>
        </w:rPr>
        <w:t>jurisdiction</w:t>
      </w:r>
      <w:r>
        <w:rPr>
          <w:rFonts w:eastAsia="Times New Roman" w:cs="Times New Roman"/>
          <w:szCs w:val="24"/>
        </w:rPr>
        <w:t xml:space="preserve">’s </w:t>
      </w:r>
      <w:r w:rsidRPr="00D9471F">
        <w:rPr>
          <w:rFonts w:eastAsia="Times New Roman" w:cs="Times New Roman"/>
          <w:szCs w:val="24"/>
        </w:rPr>
        <w:t>guardianship l</w:t>
      </w:r>
      <w:r>
        <w:rPr>
          <w:rFonts w:eastAsia="Times New Roman" w:cs="Times New Roman"/>
          <w:szCs w:val="24"/>
        </w:rPr>
        <w:t>aws.  In</w:t>
      </w:r>
      <w:r w:rsidRPr="00D9471F">
        <w:rPr>
          <w:rFonts w:eastAsia="Times New Roman" w:cs="Times New Roman"/>
          <w:szCs w:val="24"/>
        </w:rPr>
        <w:t xml:space="preserve"> Tasmania</w:t>
      </w:r>
      <w:r>
        <w:rPr>
          <w:rFonts w:eastAsia="Times New Roman" w:cs="Times New Roman"/>
          <w:szCs w:val="24"/>
        </w:rPr>
        <w:t>, this</w:t>
      </w:r>
      <w:r w:rsidRPr="00D9471F">
        <w:rPr>
          <w:rFonts w:eastAsia="Times New Roman" w:cs="Times New Roman"/>
          <w:szCs w:val="24"/>
        </w:rPr>
        <w:t xml:space="preserve"> is the </w:t>
      </w:r>
      <w:r w:rsidRPr="00D9471F">
        <w:rPr>
          <w:rFonts w:eastAsia="Times New Roman" w:cs="Times New Roman"/>
          <w:i/>
          <w:szCs w:val="24"/>
        </w:rPr>
        <w:t>Guardianship and Administration Act</w:t>
      </w:r>
      <w:r w:rsidRPr="00D9471F">
        <w:rPr>
          <w:rFonts w:eastAsia="Times New Roman" w:cs="Times New Roman"/>
          <w:szCs w:val="24"/>
        </w:rPr>
        <w:t xml:space="preserve"> 1995</w:t>
      </w:r>
      <w:r>
        <w:rPr>
          <w:rFonts w:eastAsia="Times New Roman" w:cs="Times New Roman"/>
          <w:szCs w:val="24"/>
        </w:rPr>
        <w:t xml:space="preserve"> (GAR). Its </w:t>
      </w:r>
      <w:r w:rsidRPr="00D9471F">
        <w:rPr>
          <w:rFonts w:cs="Times New Roman"/>
          <w:szCs w:val="24"/>
        </w:rPr>
        <w:t>Principles require</w:t>
      </w:r>
      <w:r w:rsidRPr="00D9471F">
        <w:rPr>
          <w:rFonts w:cs="Times New Roman"/>
          <w:b/>
          <w:bCs/>
          <w:szCs w:val="24"/>
        </w:rPr>
        <w:t xml:space="preserve"> </w:t>
      </w:r>
      <w:r w:rsidRPr="00D9471F">
        <w:rPr>
          <w:rFonts w:cs="Times New Roman"/>
          <w:bCs/>
          <w:szCs w:val="24"/>
        </w:rPr>
        <w:t>(a)</w:t>
      </w:r>
      <w:r w:rsidRPr="00D9471F">
        <w:rPr>
          <w:rFonts w:cs="Times New Roman"/>
          <w:szCs w:val="24"/>
        </w:rPr>
        <w:t xml:space="preserve"> the </w:t>
      </w:r>
      <w:r w:rsidRPr="00D9471F">
        <w:rPr>
          <w:rFonts w:cs="Times New Roman"/>
          <w:b/>
          <w:szCs w:val="24"/>
        </w:rPr>
        <w:t>least restriction</w:t>
      </w:r>
      <w:r w:rsidRPr="00D9471F">
        <w:rPr>
          <w:rFonts w:cs="Times New Roman"/>
          <w:szCs w:val="24"/>
        </w:rPr>
        <w:t xml:space="preserve"> of a person's freedom of decision and action, and as is possible in the circumstances and that (c) </w:t>
      </w:r>
      <w:bookmarkStart w:id="1" w:name="GS6@Hpc@EN"/>
      <w:bookmarkEnd w:id="1"/>
      <w:r w:rsidRPr="00D9471F">
        <w:rPr>
          <w:rFonts w:cs="Times New Roman"/>
          <w:b/>
          <w:szCs w:val="24"/>
        </w:rPr>
        <w:t xml:space="preserve">the wishes of a person if possible, is carried into effect. </w:t>
      </w:r>
    </w:p>
    <w:p w14:paraId="78F7155D" w14:textId="77777777" w:rsidR="00B108C4" w:rsidRDefault="00B108C4" w:rsidP="00B108C4">
      <w:pPr>
        <w:spacing w:line="276" w:lineRule="auto"/>
        <w:rPr>
          <w:rFonts w:cs="Times New Roman"/>
          <w:b/>
          <w:szCs w:val="24"/>
        </w:rPr>
      </w:pPr>
      <w:r w:rsidRPr="00B448B6">
        <w:rPr>
          <w:rFonts w:cs="Times New Roman"/>
          <w:szCs w:val="24"/>
        </w:rPr>
        <w:t xml:space="preserve">The </w:t>
      </w:r>
      <w:r>
        <w:rPr>
          <w:rFonts w:cs="Times New Roman"/>
          <w:szCs w:val="24"/>
        </w:rPr>
        <w:t>Objects</w:t>
      </w:r>
      <w:r w:rsidRPr="00D9471F">
        <w:rPr>
          <w:rFonts w:cs="Times New Roman"/>
          <w:szCs w:val="24"/>
        </w:rPr>
        <w:t xml:space="preserve"> </w:t>
      </w:r>
      <w:r>
        <w:rPr>
          <w:rFonts w:cs="Times New Roman"/>
          <w:szCs w:val="24"/>
        </w:rPr>
        <w:t xml:space="preserve">of the GAR </w:t>
      </w:r>
      <w:r w:rsidRPr="00D9471F">
        <w:rPr>
          <w:rFonts w:cs="Times New Roman"/>
          <w:szCs w:val="24"/>
        </w:rPr>
        <w:t>are (b) to enable the making of guardianship orders and administration orders; and</w:t>
      </w:r>
      <w:bookmarkStart w:id="2" w:name="GS5@Hpc@EN"/>
      <w:bookmarkEnd w:id="2"/>
      <w:r w:rsidRPr="00D9471F">
        <w:rPr>
          <w:rFonts w:cs="Times New Roman"/>
          <w:szCs w:val="24"/>
        </w:rPr>
        <w:t xml:space="preserve"> </w:t>
      </w:r>
      <w:r w:rsidRPr="00B448B6">
        <w:rPr>
          <w:rFonts w:cs="Times New Roman"/>
          <w:bCs/>
          <w:szCs w:val="24"/>
        </w:rPr>
        <w:t>(c)</w:t>
      </w:r>
      <w:r w:rsidRPr="00D9471F">
        <w:rPr>
          <w:rFonts w:cs="Times New Roman"/>
          <w:szCs w:val="24"/>
        </w:rPr>
        <w:t xml:space="preserve"> to make better provision for the authorization and approval of medical and dental treatment for persons with a disability who are</w:t>
      </w:r>
      <w:r w:rsidRPr="00D9471F">
        <w:rPr>
          <w:rFonts w:cs="Times New Roman"/>
          <w:b/>
          <w:szCs w:val="24"/>
        </w:rPr>
        <w:t xml:space="preserve"> incapable of giving informed consent</w:t>
      </w:r>
      <w:r w:rsidRPr="00D9471F">
        <w:rPr>
          <w:rFonts w:cs="Times New Roman"/>
          <w:szCs w:val="24"/>
        </w:rPr>
        <w:t xml:space="preserve"> to any such treatment; and</w:t>
      </w:r>
      <w:bookmarkStart w:id="3" w:name="GS5@Hpd@EN"/>
      <w:bookmarkEnd w:id="3"/>
      <w:r w:rsidRPr="00D9471F">
        <w:rPr>
          <w:rFonts w:cs="Times New Roman"/>
          <w:szCs w:val="24"/>
        </w:rPr>
        <w:t xml:space="preserve"> </w:t>
      </w:r>
      <w:r w:rsidRPr="00B448B6">
        <w:rPr>
          <w:rFonts w:cs="Times New Roman"/>
          <w:bCs/>
          <w:szCs w:val="24"/>
        </w:rPr>
        <w:t>(d)</w:t>
      </w:r>
      <w:r w:rsidRPr="00D9471F">
        <w:rPr>
          <w:rFonts w:cs="Times New Roman"/>
          <w:szCs w:val="24"/>
        </w:rPr>
        <w:t xml:space="preserve"> to ensure that persons with a disability and their families are informed of, and make use of, the provisions of this Act.</w:t>
      </w:r>
      <w:r>
        <w:rPr>
          <w:rFonts w:cs="Times New Roman"/>
          <w:szCs w:val="24"/>
        </w:rPr>
        <w:t xml:space="preserve"> The Act largely relies on family to assume the roles of person responsible, guardian, enduring attorney etc.</w:t>
      </w:r>
    </w:p>
    <w:p w14:paraId="001ECC75" w14:textId="77777777" w:rsidR="00B108C4" w:rsidRPr="00135DBF" w:rsidRDefault="00B108C4" w:rsidP="00B108C4">
      <w:pPr>
        <w:spacing w:line="276" w:lineRule="auto"/>
        <w:rPr>
          <w:rFonts w:cs="Times New Roman"/>
          <w:b/>
          <w:szCs w:val="24"/>
        </w:rPr>
      </w:pPr>
      <w:r w:rsidRPr="00D9471F">
        <w:rPr>
          <w:rFonts w:cs="Times New Roman"/>
          <w:bCs/>
          <w:szCs w:val="24"/>
        </w:rPr>
        <w:t xml:space="preserve">The </w:t>
      </w:r>
      <w:r>
        <w:rPr>
          <w:rFonts w:cs="Times New Roman"/>
          <w:bCs/>
          <w:szCs w:val="24"/>
        </w:rPr>
        <w:t>GAA</w:t>
      </w:r>
      <w:r>
        <w:rPr>
          <w:rStyle w:val="FootnoteReference"/>
          <w:rFonts w:cs="Times New Roman"/>
          <w:bCs/>
          <w:szCs w:val="24"/>
        </w:rPr>
        <w:footnoteReference w:id="40"/>
      </w:r>
      <w:r>
        <w:rPr>
          <w:rFonts w:cs="Times New Roman"/>
          <w:bCs/>
          <w:szCs w:val="24"/>
        </w:rPr>
        <w:t xml:space="preserve"> designates that the ‘person responsible’ for an adult covered under the Act is their (i) guardian</w:t>
      </w:r>
      <w:bookmarkStart w:id="4" w:name="GS4@Gs1@Hpc@Hqii@EN"/>
      <w:bookmarkEnd w:id="4"/>
      <w:r>
        <w:rPr>
          <w:rFonts w:cs="Times New Roman"/>
          <w:bCs/>
          <w:szCs w:val="24"/>
        </w:rPr>
        <w:t>;</w:t>
      </w:r>
      <w:r w:rsidRPr="00E51758">
        <w:rPr>
          <w:rFonts w:eastAsia="Times New Roman" w:cs="Times New Roman"/>
          <w:b/>
          <w:bCs/>
          <w:szCs w:val="24"/>
          <w:lang w:val="en-US"/>
        </w:rPr>
        <w:t xml:space="preserve"> </w:t>
      </w:r>
      <w:r w:rsidRPr="00E51758">
        <w:rPr>
          <w:rFonts w:eastAsia="Times New Roman" w:cs="Times New Roman"/>
          <w:bCs/>
          <w:szCs w:val="24"/>
          <w:lang w:val="en-US"/>
        </w:rPr>
        <w:t>(ii)</w:t>
      </w:r>
      <w:r w:rsidRPr="00E51758">
        <w:rPr>
          <w:rFonts w:eastAsia="Times New Roman" w:cs="Times New Roman"/>
          <w:szCs w:val="24"/>
          <w:lang w:val="en-US"/>
        </w:rPr>
        <w:t xml:space="preserve"> spouse</w:t>
      </w:r>
      <w:bookmarkStart w:id="5" w:name="GS4@Gs1@Hpc@Hqiii@EN"/>
      <w:bookmarkEnd w:id="5"/>
      <w:r>
        <w:rPr>
          <w:rFonts w:eastAsia="Times New Roman" w:cs="Times New Roman"/>
          <w:szCs w:val="24"/>
          <w:lang w:val="en-US"/>
        </w:rPr>
        <w:t xml:space="preserve">; (iii) care–giver; </w:t>
      </w:r>
      <w:r w:rsidRPr="00E51758">
        <w:rPr>
          <w:rFonts w:eastAsia="Times New Roman" w:cs="Times New Roman"/>
          <w:bCs/>
          <w:szCs w:val="24"/>
          <w:lang w:val="en-US"/>
        </w:rPr>
        <w:t>(iv)</w:t>
      </w:r>
      <w:r>
        <w:rPr>
          <w:rFonts w:eastAsia="Times New Roman" w:cs="Times New Roman"/>
          <w:b/>
          <w:bCs/>
          <w:szCs w:val="24"/>
          <w:lang w:val="en-US"/>
        </w:rPr>
        <w:t xml:space="preserve"> </w:t>
      </w:r>
      <w:r>
        <w:rPr>
          <w:rFonts w:eastAsia="Times New Roman" w:cs="Times New Roman"/>
          <w:szCs w:val="24"/>
          <w:lang w:val="en-US"/>
        </w:rPr>
        <w:t>close friend or relative, in that priority order. In law, they are responsible for making decisions in all matters of the adult’s health and lifestyle. The Board has extremely limited interventionist role in the decision-making arrangements that exist between persons with diminished capacity and their families/</w:t>
      </w:r>
      <w:proofErr w:type="spellStart"/>
      <w:r>
        <w:rPr>
          <w:rFonts w:eastAsia="Times New Roman" w:cs="Times New Roman"/>
          <w:szCs w:val="24"/>
          <w:lang w:val="en-US"/>
        </w:rPr>
        <w:t>carers</w:t>
      </w:r>
      <w:proofErr w:type="spellEnd"/>
      <w:r>
        <w:rPr>
          <w:rFonts w:eastAsia="Times New Roman" w:cs="Times New Roman"/>
          <w:szCs w:val="24"/>
          <w:lang w:val="en-US"/>
        </w:rPr>
        <w:t xml:space="preserve">. </w:t>
      </w:r>
    </w:p>
    <w:p w14:paraId="78054905" w14:textId="77777777" w:rsidR="00B108C4" w:rsidRDefault="00B108C4" w:rsidP="00B108C4">
      <w:pPr>
        <w:spacing w:line="276" w:lineRule="auto"/>
        <w:rPr>
          <w:rFonts w:eastAsia="Times New Roman" w:cs="Times New Roman"/>
          <w:szCs w:val="24"/>
          <w:lang w:val="en-US"/>
        </w:rPr>
      </w:pPr>
      <w:r w:rsidRPr="00725DEE">
        <w:rPr>
          <w:rFonts w:cs="Times New Roman"/>
          <w:szCs w:val="24"/>
        </w:rPr>
        <w:t>An app</w:t>
      </w:r>
      <w:r>
        <w:rPr>
          <w:rFonts w:cs="Times New Roman"/>
          <w:szCs w:val="24"/>
        </w:rPr>
        <w:t xml:space="preserve">lication can be made to the Board for a formal Guardianship or Administration Order. This commonly occurs when there is no ‘person responsible’ or there is conflict between parties (between the person with the disability and their ‘person responsible, or between the adult person’s relatives/carers).  S.20 authorises the Board to make a Guardianship Order if (1) </w:t>
      </w:r>
      <w:r w:rsidRPr="00D87259">
        <w:rPr>
          <w:rFonts w:cs="Times New Roman"/>
          <w:b/>
          <w:szCs w:val="24"/>
        </w:rPr>
        <w:t>after a hearing</w:t>
      </w:r>
      <w:r>
        <w:rPr>
          <w:rFonts w:cs="Times New Roman"/>
          <w:szCs w:val="24"/>
        </w:rPr>
        <w:t xml:space="preserve">, the Board is satisfied that the person (a) </w:t>
      </w:r>
      <w:r w:rsidRPr="009737AA">
        <w:rPr>
          <w:rFonts w:eastAsia="Times New Roman" w:cs="Times New Roman"/>
          <w:szCs w:val="24"/>
          <w:lang w:val="en-US"/>
        </w:rPr>
        <w:t>is a person with a disability; and</w:t>
      </w:r>
      <w:bookmarkStart w:id="6" w:name="GS20@Gs1@Hpb@EN"/>
      <w:bookmarkEnd w:id="6"/>
      <w:r>
        <w:rPr>
          <w:rFonts w:cs="Times New Roman"/>
          <w:szCs w:val="24"/>
        </w:rPr>
        <w:t xml:space="preserve"> (b) </w:t>
      </w:r>
      <w:r w:rsidRPr="009737AA">
        <w:rPr>
          <w:rFonts w:eastAsia="Times New Roman" w:cs="Times New Roman"/>
          <w:szCs w:val="24"/>
          <w:lang w:val="en-US"/>
        </w:rPr>
        <w:t>is unable by reason of the disability to make reasonable judgements in respect of all or any matters relating to his or her person or circumstances; and</w:t>
      </w:r>
      <w:bookmarkStart w:id="7" w:name="GS20@Gs1@Hpc@EN"/>
      <w:bookmarkEnd w:id="7"/>
      <w:r>
        <w:rPr>
          <w:rFonts w:cs="Times New Roman"/>
          <w:szCs w:val="24"/>
        </w:rPr>
        <w:t xml:space="preserve"> </w:t>
      </w:r>
      <w:r w:rsidRPr="009737AA">
        <w:rPr>
          <w:rFonts w:eastAsia="Times New Roman" w:cs="Times New Roman"/>
          <w:bCs/>
          <w:szCs w:val="24"/>
          <w:lang w:val="en-US"/>
        </w:rPr>
        <w:t>(c)</w:t>
      </w:r>
      <w:r w:rsidRPr="009737AA">
        <w:rPr>
          <w:rFonts w:eastAsia="Times New Roman" w:cs="Times New Roman"/>
          <w:szCs w:val="24"/>
          <w:lang w:val="en-US"/>
        </w:rPr>
        <w:t xml:space="preserve"> is in need of a guardian</w:t>
      </w:r>
      <w:bookmarkStart w:id="8" w:name="GS20@Gs2@EN"/>
      <w:bookmarkEnd w:id="8"/>
      <w:r>
        <w:rPr>
          <w:rFonts w:eastAsia="Times New Roman" w:cs="Times New Roman"/>
          <w:szCs w:val="24"/>
          <w:lang w:val="en-US"/>
        </w:rPr>
        <w:t xml:space="preserve"> and that</w:t>
      </w:r>
      <w:r w:rsidRPr="009737AA">
        <w:rPr>
          <w:rFonts w:eastAsia="Times New Roman" w:cs="Times New Roman"/>
          <w:b/>
          <w:bCs/>
          <w:szCs w:val="24"/>
          <w:lang w:val="en-US"/>
        </w:rPr>
        <w:t xml:space="preserve"> </w:t>
      </w:r>
      <w:r w:rsidRPr="00725DEE">
        <w:rPr>
          <w:rFonts w:eastAsia="Times New Roman" w:cs="Times New Roman"/>
          <w:bCs/>
          <w:szCs w:val="24"/>
          <w:lang w:val="en-US"/>
        </w:rPr>
        <w:t xml:space="preserve">in </w:t>
      </w:r>
      <w:r w:rsidRPr="009737AA">
        <w:rPr>
          <w:rFonts w:eastAsia="Times New Roman" w:cs="Times New Roman"/>
          <w:bCs/>
          <w:szCs w:val="24"/>
          <w:lang w:val="en-US"/>
        </w:rPr>
        <w:t>(2)</w:t>
      </w:r>
      <w:r>
        <w:rPr>
          <w:rFonts w:eastAsia="Times New Roman" w:cs="Times New Roman"/>
          <w:szCs w:val="24"/>
          <w:lang w:val="en-US"/>
        </w:rPr>
        <w:t xml:space="preserve"> </w:t>
      </w:r>
      <w:r w:rsidRPr="009737AA">
        <w:rPr>
          <w:rFonts w:eastAsia="Times New Roman" w:cs="Times New Roman"/>
          <w:szCs w:val="24"/>
          <w:lang w:val="en-US"/>
        </w:rPr>
        <w:t>determining whether or not a person is in need of a guardian, the Board must consider whether the needs of the proposed represented person could be met by other means less restrictive of that person's freedom of decision and action.</w:t>
      </w:r>
    </w:p>
    <w:p w14:paraId="150A71CF" w14:textId="77777777" w:rsidR="00B108C4" w:rsidRDefault="00B108C4" w:rsidP="00B108C4">
      <w:pPr>
        <w:spacing w:line="276" w:lineRule="auto"/>
        <w:rPr>
          <w:rFonts w:eastAsia="Times New Roman" w:cs="Times New Roman"/>
          <w:szCs w:val="24"/>
          <w:lang w:val="en-US"/>
        </w:rPr>
      </w:pPr>
      <w:r w:rsidRPr="00135DBF">
        <w:rPr>
          <w:rFonts w:eastAsia="Times New Roman" w:cs="Times New Roman"/>
          <w:szCs w:val="24"/>
          <w:lang w:val="en-US"/>
        </w:rPr>
        <w:t>The Board will appoint as Guardian a suitable person</w:t>
      </w:r>
      <w:r w:rsidRPr="00135DBF">
        <w:rPr>
          <w:rStyle w:val="FootnoteReference"/>
          <w:rFonts w:eastAsia="Times New Roman" w:cs="Times New Roman"/>
          <w:szCs w:val="24"/>
          <w:lang w:val="en-US"/>
        </w:rPr>
        <w:footnoteReference w:id="41"/>
      </w:r>
      <w:r w:rsidRPr="00135DBF">
        <w:rPr>
          <w:rFonts w:eastAsia="Times New Roman" w:cs="Times New Roman"/>
          <w:szCs w:val="24"/>
          <w:lang w:val="en-US"/>
        </w:rPr>
        <w:t xml:space="preserve"> taking into consideration </w:t>
      </w:r>
      <w:r w:rsidRPr="00135DBF">
        <w:rPr>
          <w:rFonts w:cs="Times New Roman"/>
          <w:szCs w:val="24"/>
        </w:rPr>
        <w:t xml:space="preserve"> </w:t>
      </w:r>
      <w:r w:rsidRPr="009737AA">
        <w:rPr>
          <w:rFonts w:eastAsia="Times New Roman" w:cs="Times New Roman"/>
          <w:bCs/>
          <w:szCs w:val="24"/>
          <w:lang w:val="en-US"/>
        </w:rPr>
        <w:t>(a)</w:t>
      </w:r>
      <w:r w:rsidRPr="009737AA">
        <w:rPr>
          <w:rFonts w:eastAsia="Times New Roman" w:cs="Times New Roman"/>
          <w:szCs w:val="24"/>
          <w:lang w:val="en-US"/>
        </w:rPr>
        <w:t xml:space="preserve"> </w:t>
      </w:r>
      <w:r w:rsidRPr="009737AA">
        <w:rPr>
          <w:rFonts w:eastAsia="Times New Roman" w:cs="Times New Roman"/>
          <w:b/>
          <w:szCs w:val="24"/>
          <w:lang w:val="en-US"/>
        </w:rPr>
        <w:t>the wishes of the proposed represented person</w:t>
      </w:r>
      <w:r w:rsidRPr="009737AA">
        <w:rPr>
          <w:rFonts w:eastAsia="Times New Roman" w:cs="Times New Roman"/>
          <w:szCs w:val="24"/>
          <w:lang w:val="en-US"/>
        </w:rPr>
        <w:t xml:space="preserve"> so far as they can be ascertained; and</w:t>
      </w:r>
      <w:bookmarkStart w:id="9" w:name="GS21@Gs2@Hpb@EN"/>
      <w:bookmarkEnd w:id="9"/>
      <w:r w:rsidRPr="00135DBF">
        <w:rPr>
          <w:rFonts w:cs="Times New Roman"/>
          <w:szCs w:val="24"/>
        </w:rPr>
        <w:t xml:space="preserve"> </w:t>
      </w:r>
      <w:r w:rsidRPr="009737AA">
        <w:rPr>
          <w:rFonts w:eastAsia="Times New Roman" w:cs="Times New Roman"/>
          <w:bCs/>
          <w:szCs w:val="24"/>
          <w:lang w:val="en-US"/>
        </w:rPr>
        <w:t>(b)</w:t>
      </w:r>
      <w:r w:rsidRPr="009737AA">
        <w:rPr>
          <w:rFonts w:eastAsia="Times New Roman" w:cs="Times New Roman"/>
          <w:szCs w:val="24"/>
          <w:lang w:val="en-US"/>
        </w:rPr>
        <w:t xml:space="preserve"> </w:t>
      </w:r>
      <w:r w:rsidRPr="009737AA">
        <w:rPr>
          <w:rFonts w:eastAsia="Times New Roman" w:cs="Times New Roman"/>
          <w:b/>
          <w:szCs w:val="24"/>
          <w:lang w:val="en-US"/>
        </w:rPr>
        <w:t xml:space="preserve">the desirability </w:t>
      </w:r>
      <w:r w:rsidRPr="009737AA">
        <w:rPr>
          <w:rFonts w:eastAsia="Times New Roman" w:cs="Times New Roman"/>
          <w:b/>
          <w:szCs w:val="24"/>
          <w:lang w:val="en-US"/>
        </w:rPr>
        <w:lastRenderedPageBreak/>
        <w:t>of preserving existing family relationships</w:t>
      </w:r>
      <w:r w:rsidRPr="009737AA">
        <w:rPr>
          <w:rFonts w:eastAsia="Times New Roman" w:cs="Times New Roman"/>
          <w:szCs w:val="24"/>
          <w:lang w:val="en-US"/>
        </w:rPr>
        <w:t>; and</w:t>
      </w:r>
      <w:bookmarkStart w:id="10" w:name="GS21@Gs2@Hpc@EN"/>
      <w:bookmarkEnd w:id="10"/>
      <w:r w:rsidRPr="00135DBF">
        <w:rPr>
          <w:rFonts w:cs="Times New Roman"/>
          <w:szCs w:val="24"/>
        </w:rPr>
        <w:t xml:space="preserve"> </w:t>
      </w:r>
      <w:r w:rsidRPr="009737AA">
        <w:rPr>
          <w:rFonts w:eastAsia="Times New Roman" w:cs="Times New Roman"/>
          <w:bCs/>
          <w:szCs w:val="24"/>
          <w:lang w:val="en-US"/>
        </w:rPr>
        <w:t>(c)</w:t>
      </w:r>
      <w:r w:rsidRPr="009737AA">
        <w:rPr>
          <w:rFonts w:eastAsia="Times New Roman" w:cs="Times New Roman"/>
          <w:szCs w:val="24"/>
          <w:lang w:val="en-US"/>
        </w:rPr>
        <w:t xml:space="preserve"> the compatibility of the person proposed as guardian with the proposed represented person and with the administrator (if any) of his or her estate; and</w:t>
      </w:r>
      <w:bookmarkStart w:id="11" w:name="GS21@Gs2@Hpd@EN"/>
      <w:bookmarkEnd w:id="11"/>
      <w:r w:rsidRPr="00135DBF">
        <w:rPr>
          <w:rFonts w:cs="Times New Roman"/>
          <w:szCs w:val="24"/>
        </w:rPr>
        <w:t xml:space="preserve"> </w:t>
      </w:r>
      <w:r w:rsidRPr="009737AA">
        <w:rPr>
          <w:rFonts w:eastAsia="Times New Roman" w:cs="Times New Roman"/>
          <w:bCs/>
          <w:szCs w:val="24"/>
          <w:lang w:val="en-US"/>
        </w:rPr>
        <w:t>(d)</w:t>
      </w:r>
      <w:r w:rsidRPr="009737AA">
        <w:rPr>
          <w:rFonts w:eastAsia="Times New Roman" w:cs="Times New Roman"/>
          <w:szCs w:val="24"/>
          <w:lang w:val="en-US"/>
        </w:rPr>
        <w:t xml:space="preserve"> whether the person proposed as guardian will be available and accessible to the proposed represented person so as to fulfil the requirements of guardianship of that person.</w:t>
      </w:r>
      <w:r>
        <w:rPr>
          <w:rStyle w:val="FootnoteReference"/>
          <w:rFonts w:eastAsia="Times New Roman" w:cs="Times New Roman"/>
          <w:szCs w:val="24"/>
          <w:lang w:val="en-US"/>
        </w:rPr>
        <w:footnoteReference w:id="42"/>
      </w:r>
    </w:p>
    <w:p w14:paraId="01BBC6BB" w14:textId="77777777" w:rsidR="00B108C4" w:rsidRDefault="00B108C4" w:rsidP="00B108C4">
      <w:pPr>
        <w:spacing w:line="276" w:lineRule="auto"/>
        <w:rPr>
          <w:rFonts w:eastAsia="Times New Roman" w:cs="Times New Roman"/>
          <w:szCs w:val="24"/>
          <w:lang w:val="en-US"/>
        </w:rPr>
      </w:pPr>
      <w:r w:rsidRPr="00B93BAD">
        <w:rPr>
          <w:rFonts w:eastAsia="Times New Roman" w:cs="Times New Roman"/>
          <w:szCs w:val="24"/>
          <w:lang w:val="en-US"/>
        </w:rPr>
        <w:t xml:space="preserve">Section 29 provides urgent </w:t>
      </w:r>
      <w:r w:rsidRPr="002E22A7">
        <w:rPr>
          <w:rFonts w:eastAsia="Times New Roman" w:cs="Times New Roman"/>
          <w:bCs/>
          <w:szCs w:val="24"/>
          <w:lang w:val="en-US"/>
        </w:rPr>
        <w:t xml:space="preserve">powers in </w:t>
      </w:r>
      <w:r w:rsidRPr="00B93BAD">
        <w:rPr>
          <w:rFonts w:eastAsia="Times New Roman" w:cs="Times New Roman"/>
          <w:bCs/>
          <w:szCs w:val="24"/>
          <w:lang w:val="en-US"/>
        </w:rPr>
        <w:t xml:space="preserve">the </w:t>
      </w:r>
      <w:r w:rsidRPr="002E22A7">
        <w:rPr>
          <w:rFonts w:eastAsia="Times New Roman" w:cs="Times New Roman"/>
          <w:bCs/>
          <w:szCs w:val="24"/>
          <w:lang w:val="en-US"/>
        </w:rPr>
        <w:t>case of</w:t>
      </w:r>
      <w:r w:rsidRPr="002E22A7">
        <w:rPr>
          <w:rFonts w:eastAsia="Times New Roman" w:cs="Times New Roman"/>
          <w:b/>
          <w:bCs/>
          <w:szCs w:val="24"/>
          <w:lang w:val="en-US"/>
        </w:rPr>
        <w:t xml:space="preserve"> unlawful detention </w:t>
      </w:r>
      <w:r w:rsidRPr="002E22A7">
        <w:rPr>
          <w:rFonts w:eastAsia="Times New Roman" w:cs="Times New Roman"/>
          <w:bCs/>
          <w:szCs w:val="24"/>
          <w:lang w:val="en-US"/>
        </w:rPr>
        <w:t xml:space="preserve">of </w:t>
      </w:r>
      <w:r w:rsidRPr="00B93BAD">
        <w:rPr>
          <w:rFonts w:eastAsia="Times New Roman" w:cs="Times New Roman"/>
          <w:bCs/>
          <w:szCs w:val="24"/>
          <w:lang w:val="en-US"/>
        </w:rPr>
        <w:t>a person</w:t>
      </w:r>
      <w:r w:rsidRPr="002E22A7">
        <w:rPr>
          <w:rFonts w:eastAsia="Times New Roman" w:cs="Times New Roman"/>
          <w:bCs/>
          <w:szCs w:val="24"/>
          <w:lang w:val="en-US"/>
        </w:rPr>
        <w:t xml:space="preserve"> with a disability</w:t>
      </w:r>
      <w:r w:rsidRPr="002E22A7">
        <w:rPr>
          <w:rFonts w:eastAsia="Times New Roman" w:cs="Times New Roman"/>
          <w:szCs w:val="24"/>
          <w:lang w:val="en-US"/>
        </w:rPr>
        <w:t xml:space="preserve"> </w:t>
      </w:r>
      <w:r w:rsidRPr="00B93BAD">
        <w:rPr>
          <w:rFonts w:eastAsia="Times New Roman" w:cs="Times New Roman"/>
          <w:szCs w:val="24"/>
          <w:lang w:val="en-US"/>
        </w:rPr>
        <w:t xml:space="preserve">if the Board has been advised that the person is (a) being detained against their will, </w:t>
      </w:r>
      <w:r w:rsidRPr="00B93BAD">
        <w:rPr>
          <w:rFonts w:eastAsia="Times New Roman" w:cs="Times New Roman"/>
          <w:b/>
          <w:szCs w:val="24"/>
          <w:u w:val="single"/>
          <w:lang w:val="en-US"/>
        </w:rPr>
        <w:t xml:space="preserve">or </w:t>
      </w:r>
      <w:r w:rsidRPr="00B93BAD">
        <w:rPr>
          <w:rFonts w:eastAsia="Times New Roman" w:cs="Times New Roman"/>
          <w:szCs w:val="24"/>
          <w:lang w:val="en-US"/>
        </w:rPr>
        <w:t>(b)</w:t>
      </w:r>
      <w:bookmarkStart w:id="12" w:name="GS29@Gs1@EN"/>
      <w:bookmarkStart w:id="13" w:name="GS29@Gs1@Hpb@EN"/>
      <w:bookmarkEnd w:id="12"/>
      <w:bookmarkEnd w:id="13"/>
      <w:r w:rsidRPr="00B93BAD">
        <w:rPr>
          <w:rFonts w:eastAsia="Times New Roman" w:cs="Times New Roman"/>
          <w:szCs w:val="24"/>
          <w:lang w:val="en-US"/>
        </w:rPr>
        <w:t xml:space="preserve"> </w:t>
      </w:r>
      <w:r w:rsidRPr="002E22A7">
        <w:rPr>
          <w:rFonts w:eastAsia="Times New Roman" w:cs="Times New Roman"/>
          <w:szCs w:val="24"/>
          <w:lang w:val="en-US"/>
        </w:rPr>
        <w:t xml:space="preserve">is </w:t>
      </w:r>
      <w:r w:rsidRPr="00FA49A4">
        <w:rPr>
          <w:rFonts w:eastAsia="Times New Roman" w:cs="Times New Roman"/>
          <w:b/>
          <w:szCs w:val="24"/>
          <w:lang w:val="en-US"/>
        </w:rPr>
        <w:t>likely to suffer damage to his or her physical, emotional or mental health or well-being unless immediate action is taken</w:t>
      </w:r>
      <w:r w:rsidRPr="00B93BAD">
        <w:rPr>
          <w:rFonts w:eastAsia="Times New Roman" w:cs="Times New Roman"/>
          <w:szCs w:val="24"/>
          <w:lang w:val="en-US"/>
        </w:rPr>
        <w:t xml:space="preserve">. The Public Guardian accompanied by a police officer can enter the premises for the purpose of preparing a report. </w:t>
      </w:r>
      <w:r w:rsidRPr="00B93BAD">
        <w:rPr>
          <w:rFonts w:cs="Times New Roman"/>
          <w:szCs w:val="24"/>
        </w:rPr>
        <w:t>If, after receiving the report the Board is satisfied that the information is correct, it may make an order enabling the person to be taken to, and cared for at, a place specified in the order until a guardianship application is heard.</w:t>
      </w:r>
    </w:p>
    <w:p w14:paraId="3A288DC5" w14:textId="77777777" w:rsidR="00B108C4" w:rsidRPr="000F66F7" w:rsidRDefault="00B108C4" w:rsidP="00B108C4">
      <w:pPr>
        <w:spacing w:line="276" w:lineRule="auto"/>
        <w:rPr>
          <w:rFonts w:cs="Times New Roman"/>
          <w:szCs w:val="24"/>
        </w:rPr>
      </w:pPr>
      <w:r>
        <w:rPr>
          <w:rFonts w:cs="Times New Roman"/>
          <w:szCs w:val="24"/>
        </w:rPr>
        <w:t xml:space="preserve">S.30 also </w:t>
      </w:r>
      <w:r w:rsidRPr="008D3B30">
        <w:rPr>
          <w:rFonts w:cs="Times New Roman"/>
          <w:szCs w:val="24"/>
        </w:rPr>
        <w:t xml:space="preserve">provides for the removal of a person to a place of safety if it appears </w:t>
      </w:r>
      <w:r w:rsidRPr="00B637BB">
        <w:rPr>
          <w:rFonts w:cs="Times New Roman"/>
          <w:b/>
          <w:szCs w:val="24"/>
        </w:rPr>
        <w:t>to a police officer</w:t>
      </w:r>
      <w:r w:rsidRPr="008D3B30">
        <w:rPr>
          <w:rFonts w:cs="Times New Roman"/>
          <w:szCs w:val="24"/>
        </w:rPr>
        <w:t xml:space="preserve"> that there is reasonable cause to suspect that a person with a disability has been, or is being, ill-treated, neglected or unlawfully detained against his or her will; or who is likely to suffer serious damage to his or her physical, emotional or mental health or well-being and appears to be in need of a guardian.  </w:t>
      </w:r>
    </w:p>
    <w:p w14:paraId="107C401A" w14:textId="207DD1B0" w:rsidR="00B108C4" w:rsidRDefault="00B108C4" w:rsidP="007F3D03">
      <w:pPr>
        <w:pStyle w:val="Heading2"/>
      </w:pPr>
      <w:r>
        <w:t>L</w:t>
      </w:r>
      <w:r w:rsidR="00906651">
        <w:t>aw reform</w:t>
      </w:r>
    </w:p>
    <w:p w14:paraId="09B3ED15" w14:textId="77777777" w:rsidR="00B108C4" w:rsidRPr="000F66F7" w:rsidRDefault="00B108C4" w:rsidP="00B108C4">
      <w:pPr>
        <w:spacing w:line="276" w:lineRule="auto"/>
        <w:rPr>
          <w:rFonts w:eastAsia="Times New Roman" w:cs="Times New Roman"/>
          <w:szCs w:val="24"/>
          <w:lang w:eastAsia="en-AU"/>
        </w:rPr>
      </w:pPr>
      <w:r w:rsidRPr="00290EF4">
        <w:rPr>
          <w:rFonts w:cs="Times New Roman"/>
          <w:szCs w:val="24"/>
        </w:rPr>
        <w:t>At the end of 2014, Professor Wendy Lacey, co-convenor of the Australian Research Network on Law and Ageing, called for Parliamentary reform on the issue of elder abuse in the community setting.</w:t>
      </w:r>
      <w:r w:rsidRPr="00290EF4">
        <w:rPr>
          <w:rStyle w:val="FootnoteReference"/>
          <w:rFonts w:cs="Times New Roman"/>
          <w:szCs w:val="24"/>
        </w:rPr>
        <w:footnoteReference w:id="43"/>
      </w:r>
      <w:r>
        <w:rPr>
          <w:rFonts w:cs="Times New Roman"/>
          <w:szCs w:val="24"/>
        </w:rPr>
        <w:t xml:space="preserve">  </w:t>
      </w:r>
      <w:r w:rsidRPr="00393DEB">
        <w:rPr>
          <w:rFonts w:eastAsia="Times New Roman" w:cs="Times New Roman"/>
          <w:szCs w:val="24"/>
          <w:lang w:eastAsia="en-AU"/>
        </w:rPr>
        <w:t xml:space="preserve">Coinciding with the release of the </w:t>
      </w:r>
      <w:proofErr w:type="spellStart"/>
      <w:r w:rsidRPr="00393DEB">
        <w:rPr>
          <w:rFonts w:eastAsia="Times New Roman" w:cs="Times New Roman"/>
          <w:szCs w:val="24"/>
          <w:lang w:eastAsia="en-AU"/>
        </w:rPr>
        <w:t>Kaspiew</w:t>
      </w:r>
      <w:proofErr w:type="spellEnd"/>
      <w:r w:rsidRPr="00393DEB">
        <w:rPr>
          <w:rFonts w:eastAsia="Times New Roman" w:cs="Times New Roman"/>
          <w:szCs w:val="24"/>
          <w:lang w:eastAsia="en-AU"/>
        </w:rPr>
        <w:t xml:space="preserve"> Report on Elder Abuse in February 2016,</w:t>
      </w:r>
      <w:r w:rsidRPr="00393DEB">
        <w:rPr>
          <w:rStyle w:val="FootnoteReference"/>
          <w:rFonts w:eastAsia="Times New Roman" w:cs="Times New Roman"/>
          <w:szCs w:val="24"/>
          <w:lang w:eastAsia="en-AU"/>
        </w:rPr>
        <w:footnoteReference w:id="44"/>
      </w:r>
      <w:r w:rsidRPr="00393DEB">
        <w:rPr>
          <w:rFonts w:eastAsia="Times New Roman" w:cs="Times New Roman"/>
          <w:szCs w:val="24"/>
          <w:lang w:eastAsia="en-AU"/>
        </w:rPr>
        <w:t xml:space="preserve"> the Attorney General George Brandis, announced a new Inquiry for the Australian Law Reform Commission (ALRC) on ‘Protecting the Rights of Older Australians from Abuse’. The ALRC releas</w:t>
      </w:r>
      <w:r>
        <w:rPr>
          <w:rFonts w:eastAsia="Times New Roman" w:cs="Times New Roman"/>
          <w:szCs w:val="24"/>
          <w:lang w:eastAsia="en-AU"/>
        </w:rPr>
        <w:t>ed an Issues Paper in June, 2016.</w:t>
      </w:r>
      <w:r w:rsidRPr="00393DEB">
        <w:rPr>
          <w:rStyle w:val="FootnoteReference"/>
          <w:rFonts w:eastAsia="Times New Roman" w:cs="Times New Roman"/>
          <w:szCs w:val="24"/>
          <w:lang w:eastAsia="en-AU"/>
        </w:rPr>
        <w:footnoteReference w:id="45"/>
      </w:r>
      <w:r>
        <w:rPr>
          <w:rFonts w:eastAsia="Times New Roman" w:cs="Times New Roman"/>
          <w:szCs w:val="24"/>
          <w:lang w:eastAsia="en-AU"/>
        </w:rPr>
        <w:t xml:space="preserve">  </w:t>
      </w:r>
    </w:p>
    <w:p w14:paraId="0F415EC3" w14:textId="77777777" w:rsidR="00B108C4" w:rsidRDefault="00B108C4" w:rsidP="00B108C4">
      <w:pPr>
        <w:spacing w:line="276" w:lineRule="auto"/>
        <w:rPr>
          <w:rFonts w:eastAsia="Times New Roman" w:cs="Times New Roman"/>
          <w:szCs w:val="24"/>
        </w:rPr>
      </w:pPr>
      <w:r>
        <w:rPr>
          <w:rFonts w:eastAsia="Times New Roman" w:cs="Times New Roman"/>
          <w:szCs w:val="24"/>
        </w:rPr>
        <w:t>In its submission to the ALRC, S</w:t>
      </w:r>
      <w:r w:rsidRPr="00711C65">
        <w:rPr>
          <w:rFonts w:eastAsia="Times New Roman" w:cs="Times New Roman"/>
          <w:szCs w:val="24"/>
        </w:rPr>
        <w:t xml:space="preserve">eniors </w:t>
      </w:r>
      <w:r w:rsidRPr="00393DEB">
        <w:rPr>
          <w:rFonts w:eastAsia="Times New Roman" w:cs="Times New Roman"/>
          <w:szCs w:val="24"/>
        </w:rPr>
        <w:t xml:space="preserve">Rights, Victoria, </w:t>
      </w:r>
      <w:r>
        <w:rPr>
          <w:rFonts w:eastAsia="Times New Roman" w:cs="Times New Roman"/>
          <w:szCs w:val="24"/>
        </w:rPr>
        <w:t>argued for the expansion of the ‘</w:t>
      </w:r>
      <w:r w:rsidRPr="00711C65">
        <w:rPr>
          <w:rFonts w:eastAsia="Times New Roman" w:cs="Times New Roman"/>
          <w:szCs w:val="24"/>
        </w:rPr>
        <w:t>functions of the Office of Public Advocate to receive and investigate complaints,</w:t>
      </w:r>
      <w:r w:rsidRPr="00393DEB">
        <w:rPr>
          <w:rFonts w:eastAsia="Times New Roman" w:cs="Times New Roman"/>
          <w:szCs w:val="24"/>
        </w:rPr>
        <w:t xml:space="preserve"> </w:t>
      </w:r>
      <w:r w:rsidRPr="00711C65">
        <w:rPr>
          <w:rFonts w:eastAsia="Times New Roman" w:cs="Times New Roman"/>
          <w:szCs w:val="24"/>
        </w:rPr>
        <w:t>and to conduct own-motion investigations, in relation to the abuse, neglect or exploitation of:</w:t>
      </w:r>
      <w:r w:rsidRPr="00393DEB">
        <w:rPr>
          <w:rFonts w:eastAsia="Times New Roman" w:cs="Times New Roman"/>
          <w:szCs w:val="24"/>
        </w:rPr>
        <w:t>…</w:t>
      </w:r>
      <w:r w:rsidRPr="00711C65">
        <w:rPr>
          <w:rFonts w:eastAsia="Times New Roman" w:cs="Times New Roman"/>
          <w:szCs w:val="24"/>
        </w:rPr>
        <w:t>People</w:t>
      </w:r>
      <w:r w:rsidRPr="00393DEB">
        <w:rPr>
          <w:rFonts w:eastAsia="Times New Roman" w:cs="Times New Roman"/>
          <w:szCs w:val="24"/>
        </w:rPr>
        <w:t xml:space="preserve"> </w:t>
      </w:r>
      <w:r w:rsidRPr="00711C65">
        <w:rPr>
          <w:rFonts w:eastAsia="Times New Roman" w:cs="Times New Roman"/>
          <w:szCs w:val="24"/>
        </w:rPr>
        <w:t>who because of an attribute associated with ageing, are vulnerable to, or at greater risk of, abuse, neglect or exploitation</w:t>
      </w:r>
      <w:r w:rsidRPr="00393DEB">
        <w:rPr>
          <w:rFonts w:eastAsia="Times New Roman" w:cs="Times New Roman"/>
          <w:szCs w:val="24"/>
        </w:rPr>
        <w:t>.’</w:t>
      </w:r>
      <w:r w:rsidRPr="00393DEB">
        <w:rPr>
          <w:rStyle w:val="FootnoteReference"/>
          <w:rFonts w:eastAsia="Times New Roman" w:cs="Times New Roman"/>
          <w:szCs w:val="24"/>
        </w:rPr>
        <w:footnoteReference w:id="46"/>
      </w:r>
      <w:r>
        <w:rPr>
          <w:rFonts w:eastAsia="Times New Roman" w:cs="Times New Roman"/>
          <w:szCs w:val="24"/>
        </w:rPr>
        <w:t xml:space="preserve">  This was a common recommendation of submitters to the Inquiry.</w:t>
      </w:r>
    </w:p>
    <w:p w14:paraId="12F1A9A2" w14:textId="77777777" w:rsidR="00B108C4" w:rsidRDefault="00B108C4" w:rsidP="00B108C4">
      <w:pPr>
        <w:spacing w:line="276" w:lineRule="auto"/>
        <w:rPr>
          <w:rFonts w:cs="Times New Roman"/>
          <w:szCs w:val="24"/>
        </w:rPr>
      </w:pPr>
      <w:r>
        <w:rPr>
          <w:rFonts w:eastAsia="Times New Roman" w:cs="Times New Roman"/>
          <w:szCs w:val="24"/>
          <w:lang w:eastAsia="en-AU"/>
        </w:rPr>
        <w:t>In</w:t>
      </w:r>
      <w:r w:rsidRPr="000B0A7F">
        <w:rPr>
          <w:rFonts w:eastAsia="Times New Roman" w:cs="Times New Roman"/>
          <w:szCs w:val="24"/>
          <w:lang w:val="en-US"/>
        </w:rPr>
        <w:t xml:space="preserve"> September 2015, the General Purpose Standing Committee No. 2 (the Committee) </w:t>
      </w:r>
      <w:r>
        <w:rPr>
          <w:rFonts w:eastAsia="Times New Roman" w:cs="Times New Roman"/>
          <w:szCs w:val="24"/>
          <w:lang w:val="en-US"/>
        </w:rPr>
        <w:t xml:space="preserve">had </w:t>
      </w:r>
      <w:r w:rsidRPr="005F049B">
        <w:rPr>
          <w:rFonts w:eastAsia="Times New Roman" w:cs="Times New Roman"/>
          <w:szCs w:val="24"/>
          <w:lang w:val="en-US"/>
        </w:rPr>
        <w:t>commenced the Parliamentary Inquiry into Elder Abuse in NSW</w:t>
      </w:r>
      <w:r>
        <w:rPr>
          <w:rFonts w:eastAsia="Times New Roman" w:cs="Times New Roman"/>
          <w:szCs w:val="24"/>
          <w:lang w:val="en-US"/>
        </w:rPr>
        <w:t xml:space="preserve"> which also tabled </w:t>
      </w:r>
      <w:r w:rsidRPr="005F049B">
        <w:rPr>
          <w:rFonts w:eastAsia="Times New Roman" w:cs="Times New Roman"/>
          <w:szCs w:val="24"/>
          <w:lang w:val="en-US"/>
        </w:rPr>
        <w:t>its report</w:t>
      </w:r>
      <w:r>
        <w:rPr>
          <w:rFonts w:eastAsia="Times New Roman" w:cs="Times New Roman"/>
          <w:szCs w:val="24"/>
          <w:lang w:val="en-US"/>
        </w:rPr>
        <w:t xml:space="preserve">, </w:t>
      </w:r>
      <w:r w:rsidRPr="008F76EF">
        <w:rPr>
          <w:rFonts w:eastAsia="Times New Roman" w:cs="Times New Roman"/>
          <w:szCs w:val="24"/>
          <w:lang w:val="en-US"/>
        </w:rPr>
        <w:lastRenderedPageBreak/>
        <w:t>Inquiry into Elder Abuse in New South Wales,</w:t>
      </w:r>
      <w:r w:rsidRPr="008F76EF">
        <w:rPr>
          <w:rStyle w:val="FootnoteReference"/>
          <w:rFonts w:eastAsia="Times New Roman" w:cs="Times New Roman"/>
          <w:szCs w:val="24"/>
          <w:lang w:val="en-US"/>
        </w:rPr>
        <w:footnoteReference w:id="47"/>
      </w:r>
      <w:r>
        <w:rPr>
          <w:rFonts w:eastAsia="Times New Roman" w:cs="Times New Roman"/>
          <w:szCs w:val="24"/>
          <w:lang w:val="en-US"/>
        </w:rPr>
        <w:t xml:space="preserve"> in </w:t>
      </w:r>
      <w:r w:rsidRPr="005F049B">
        <w:rPr>
          <w:rFonts w:eastAsia="Times New Roman" w:cs="Times New Roman"/>
          <w:szCs w:val="24"/>
          <w:lang w:val="en-US"/>
        </w:rPr>
        <w:t xml:space="preserve">June 2016. </w:t>
      </w:r>
      <w:r>
        <w:rPr>
          <w:rFonts w:eastAsia="Times New Roman" w:cs="Times New Roman"/>
          <w:szCs w:val="24"/>
          <w:lang w:val="en-US"/>
        </w:rPr>
        <w:t xml:space="preserve"> Recommendation 11</w:t>
      </w:r>
      <w:r>
        <w:rPr>
          <w:rFonts w:eastAsia="Times New Roman" w:cs="Times New Roman"/>
          <w:b/>
          <w:szCs w:val="24"/>
          <w:lang w:val="en-US"/>
        </w:rPr>
        <w:t xml:space="preserve"> </w:t>
      </w:r>
      <w:r w:rsidRPr="008F76EF">
        <w:rPr>
          <w:rFonts w:eastAsia="Times New Roman" w:cs="Times New Roman"/>
          <w:szCs w:val="24"/>
          <w:lang w:val="en-US"/>
        </w:rPr>
        <w:t>was ‘</w:t>
      </w:r>
      <w:r w:rsidRPr="005F049B">
        <w:rPr>
          <w:rFonts w:eastAsia="Times New Roman" w:cs="Times New Roman"/>
          <w:szCs w:val="24"/>
          <w:lang w:eastAsia="en-AU"/>
        </w:rPr>
        <w:t>That the NSW Government introduce legislation to establish a Public Advocate’s Office along the lines of the Victorian model, with powers to investigate complaints and allegations about abuse, neglect and exploitation of vulnerable adults, to initiate its own investigations where it considers this warranted, and to promote and protect the rights of vulnerable adults at risk of abuse.</w:t>
      </w:r>
    </w:p>
    <w:p w14:paraId="560CE0D7" w14:textId="77777777" w:rsidR="00B108C4" w:rsidRDefault="00B108C4" w:rsidP="00B108C4">
      <w:pPr>
        <w:spacing w:line="276" w:lineRule="auto"/>
        <w:rPr>
          <w:rFonts w:cs="Times New Roman"/>
          <w:szCs w:val="24"/>
        </w:rPr>
      </w:pPr>
      <w:r w:rsidRPr="003C520F">
        <w:rPr>
          <w:rFonts w:eastAsia="Times New Roman" w:cs="Times New Roman"/>
          <w:szCs w:val="24"/>
        </w:rPr>
        <w:t xml:space="preserve">In June 2017, the ALRC tabled its report, </w:t>
      </w:r>
      <w:r w:rsidRPr="003C520F">
        <w:rPr>
          <w:rFonts w:cs="Times New Roman"/>
          <w:szCs w:val="24"/>
        </w:rPr>
        <w:t xml:space="preserve">Elder Abuse—A National Legal Response (ALRC Report 131).  Contrary to the </w:t>
      </w:r>
      <w:r>
        <w:rPr>
          <w:rFonts w:cs="Times New Roman"/>
          <w:szCs w:val="24"/>
        </w:rPr>
        <w:t xml:space="preserve">rather </w:t>
      </w:r>
      <w:r w:rsidRPr="003C520F">
        <w:rPr>
          <w:rFonts w:cs="Times New Roman"/>
          <w:szCs w:val="24"/>
        </w:rPr>
        <w:t>expected</w:t>
      </w:r>
      <w:r>
        <w:rPr>
          <w:rFonts w:cs="Times New Roman"/>
          <w:szCs w:val="24"/>
        </w:rPr>
        <w:t>,</w:t>
      </w:r>
      <w:r w:rsidRPr="003C520F">
        <w:rPr>
          <w:rFonts w:cs="Times New Roman"/>
          <w:szCs w:val="24"/>
        </w:rPr>
        <w:t xml:space="preserve"> </w:t>
      </w:r>
      <w:r>
        <w:rPr>
          <w:rFonts w:cs="Times New Roman"/>
          <w:szCs w:val="24"/>
        </w:rPr>
        <w:t>stronger interventionist</w:t>
      </w:r>
      <w:r w:rsidRPr="003C520F">
        <w:rPr>
          <w:rFonts w:cs="Times New Roman"/>
          <w:szCs w:val="24"/>
        </w:rPr>
        <w:t xml:space="preserve"> approach to elder abuse, </w:t>
      </w:r>
      <w:r>
        <w:rPr>
          <w:rFonts w:cs="Times New Roman"/>
          <w:szCs w:val="24"/>
        </w:rPr>
        <w:t xml:space="preserve">the </w:t>
      </w:r>
      <w:r w:rsidRPr="003C520F">
        <w:rPr>
          <w:rFonts w:cs="Times New Roman"/>
          <w:szCs w:val="24"/>
        </w:rPr>
        <w:t xml:space="preserve">recommendations </w:t>
      </w:r>
      <w:r>
        <w:rPr>
          <w:rFonts w:cs="Times New Roman"/>
          <w:szCs w:val="24"/>
        </w:rPr>
        <w:t>reinforce the elder person’s autonomous right to decide.  Intervention should only occur in matters of ‘serious’ abuse.</w:t>
      </w:r>
    </w:p>
    <w:p w14:paraId="5ED6C876" w14:textId="77777777" w:rsidR="00B108C4" w:rsidRDefault="00B108C4" w:rsidP="00B108C4">
      <w:pPr>
        <w:spacing w:line="276" w:lineRule="auto"/>
        <w:rPr>
          <w:rFonts w:cs="Times New Roman"/>
          <w:szCs w:val="24"/>
        </w:rPr>
      </w:pPr>
      <w:r w:rsidRPr="003C520F">
        <w:rPr>
          <w:rFonts w:cs="Times New Roman"/>
          <w:szCs w:val="24"/>
        </w:rPr>
        <w:t xml:space="preserve">The following </w:t>
      </w:r>
      <w:r>
        <w:rPr>
          <w:rFonts w:cs="Times New Roman"/>
          <w:szCs w:val="24"/>
        </w:rPr>
        <w:t xml:space="preserve">ALRC </w:t>
      </w:r>
      <w:r w:rsidRPr="003C520F">
        <w:rPr>
          <w:rFonts w:cs="Times New Roman"/>
          <w:szCs w:val="24"/>
        </w:rPr>
        <w:t xml:space="preserve">Recommendations relate to safe guarding adults at risk. </w:t>
      </w:r>
    </w:p>
    <w:p w14:paraId="70D53BCB" w14:textId="77777777" w:rsidR="00B108C4" w:rsidRPr="003C520F" w:rsidRDefault="00B108C4" w:rsidP="00B108C4">
      <w:pPr>
        <w:pStyle w:val="ListParagraph"/>
        <w:numPr>
          <w:ilvl w:val="0"/>
          <w:numId w:val="1"/>
        </w:numPr>
        <w:spacing w:before="100" w:beforeAutospacing="1" w:after="100" w:afterAutospacing="1"/>
        <w:rPr>
          <w:rFonts w:eastAsia="Times New Roman" w:cs="Times New Roman"/>
          <w:sz w:val="20"/>
          <w:szCs w:val="20"/>
          <w:lang w:val="en-US"/>
        </w:rPr>
      </w:pPr>
      <w:r w:rsidRPr="003C520F">
        <w:rPr>
          <w:rFonts w:eastAsia="Times New Roman" w:cs="Times New Roman"/>
          <w:bCs/>
          <w:sz w:val="20"/>
          <w:szCs w:val="20"/>
          <w:lang w:val="en-US"/>
        </w:rPr>
        <w:t>Recommendation 14–4</w:t>
      </w:r>
      <w:r w:rsidRPr="003C520F">
        <w:rPr>
          <w:rFonts w:eastAsia="Times New Roman" w:cs="Times New Roman"/>
          <w:b/>
          <w:bCs/>
          <w:sz w:val="20"/>
          <w:szCs w:val="20"/>
          <w:lang w:val="en-US"/>
        </w:rPr>
        <w:tab/>
      </w:r>
      <w:r w:rsidRPr="003C520F">
        <w:rPr>
          <w:rFonts w:eastAsia="Times New Roman" w:cs="Times New Roman"/>
          <w:sz w:val="20"/>
          <w:szCs w:val="20"/>
          <w:lang w:val="en-US"/>
        </w:rPr>
        <w:t xml:space="preserve">Adult safeguarding laws should provide that the </w:t>
      </w:r>
      <w:r w:rsidRPr="003C520F">
        <w:rPr>
          <w:rFonts w:eastAsia="Times New Roman" w:cs="Times New Roman"/>
          <w:b/>
          <w:sz w:val="20"/>
          <w:szCs w:val="20"/>
          <w:u w:val="single"/>
          <w:lang w:val="en-US"/>
        </w:rPr>
        <w:t>consent</w:t>
      </w:r>
      <w:r w:rsidRPr="003C520F">
        <w:rPr>
          <w:rFonts w:eastAsia="Times New Roman" w:cs="Times New Roman"/>
          <w:sz w:val="20"/>
          <w:szCs w:val="20"/>
          <w:lang w:val="en-US"/>
        </w:rPr>
        <w:t xml:space="preserve"> of an at-risk adult </w:t>
      </w:r>
      <w:r w:rsidRPr="003C520F">
        <w:rPr>
          <w:rFonts w:eastAsia="Times New Roman" w:cs="Times New Roman"/>
          <w:b/>
          <w:sz w:val="20"/>
          <w:szCs w:val="20"/>
          <w:u w:val="single"/>
          <w:lang w:val="en-US"/>
        </w:rPr>
        <w:t>must be secured before safeguarding agencies investigate, or take any other action</w:t>
      </w:r>
      <w:r w:rsidRPr="003C520F">
        <w:rPr>
          <w:rFonts w:eastAsia="Times New Roman" w:cs="Times New Roman"/>
          <w:sz w:val="20"/>
          <w:szCs w:val="20"/>
          <w:lang w:val="en-US"/>
        </w:rPr>
        <w:t>, in relation to the abuse or neglect of the adult. However, consent should not be required:</w:t>
      </w:r>
    </w:p>
    <w:p w14:paraId="3F63CE49" w14:textId="77777777" w:rsidR="00B108C4" w:rsidRPr="003C520F" w:rsidRDefault="00B108C4" w:rsidP="00B108C4">
      <w:pPr>
        <w:spacing w:before="100" w:beforeAutospacing="1" w:after="100" w:afterAutospacing="1"/>
        <w:ind w:left="720" w:firstLine="720"/>
        <w:rPr>
          <w:rFonts w:eastAsia="Times New Roman" w:cs="Times New Roman"/>
          <w:sz w:val="20"/>
          <w:szCs w:val="20"/>
          <w:lang w:val="en-US"/>
        </w:rPr>
      </w:pPr>
      <w:r w:rsidRPr="003C520F">
        <w:rPr>
          <w:rFonts w:eastAsia="Times New Roman" w:cs="Times New Roman"/>
          <w:sz w:val="20"/>
          <w:szCs w:val="20"/>
          <w:lang w:val="en-US"/>
        </w:rPr>
        <w:t xml:space="preserve">(a)     in </w:t>
      </w:r>
      <w:r w:rsidRPr="003C520F">
        <w:rPr>
          <w:rFonts w:eastAsia="Times New Roman" w:cs="Times New Roman"/>
          <w:b/>
          <w:sz w:val="20"/>
          <w:szCs w:val="20"/>
          <w:u w:val="single"/>
          <w:lang w:val="en-US"/>
        </w:rPr>
        <w:t>serious</w:t>
      </w:r>
      <w:r w:rsidRPr="003C520F">
        <w:rPr>
          <w:rFonts w:eastAsia="Times New Roman" w:cs="Times New Roman"/>
          <w:b/>
          <w:sz w:val="20"/>
          <w:szCs w:val="20"/>
          <w:lang w:val="en-US"/>
        </w:rPr>
        <w:t xml:space="preserve"> </w:t>
      </w:r>
      <w:r w:rsidRPr="003C520F">
        <w:rPr>
          <w:rFonts w:eastAsia="Times New Roman" w:cs="Times New Roman"/>
          <w:sz w:val="20"/>
          <w:szCs w:val="20"/>
          <w:lang w:val="en-US"/>
        </w:rPr>
        <w:t>cases of</w:t>
      </w:r>
      <w:r w:rsidRPr="003C520F">
        <w:rPr>
          <w:rFonts w:eastAsia="Times New Roman" w:cs="Times New Roman"/>
          <w:b/>
          <w:sz w:val="20"/>
          <w:szCs w:val="20"/>
          <w:lang w:val="en-US"/>
        </w:rPr>
        <w:t xml:space="preserve"> </w:t>
      </w:r>
      <w:r w:rsidRPr="003C520F">
        <w:rPr>
          <w:rFonts w:eastAsia="Times New Roman" w:cs="Times New Roman"/>
          <w:b/>
          <w:sz w:val="20"/>
          <w:szCs w:val="20"/>
          <w:u w:val="single"/>
          <w:lang w:val="en-US"/>
        </w:rPr>
        <w:t>physical abuse, sexual abuse, or neglect</w:t>
      </w:r>
      <w:r w:rsidRPr="003C520F">
        <w:rPr>
          <w:rFonts w:eastAsia="Times New Roman" w:cs="Times New Roman"/>
          <w:sz w:val="20"/>
          <w:szCs w:val="20"/>
          <w:lang w:val="en-US"/>
        </w:rPr>
        <w:t>; or</w:t>
      </w:r>
    </w:p>
    <w:p w14:paraId="72EDA3F4" w14:textId="77777777" w:rsidR="00B108C4" w:rsidRPr="003C520F" w:rsidRDefault="00B108C4" w:rsidP="00B108C4">
      <w:pPr>
        <w:spacing w:before="100" w:beforeAutospacing="1" w:after="100" w:afterAutospacing="1"/>
        <w:ind w:left="1440"/>
        <w:rPr>
          <w:rFonts w:eastAsia="Times New Roman" w:cs="Times New Roman"/>
          <w:sz w:val="20"/>
          <w:szCs w:val="20"/>
          <w:lang w:val="en-US"/>
        </w:rPr>
      </w:pPr>
      <w:r w:rsidRPr="003C520F">
        <w:rPr>
          <w:rFonts w:eastAsia="Times New Roman" w:cs="Times New Roman"/>
          <w:sz w:val="20"/>
          <w:szCs w:val="20"/>
          <w:lang w:val="en-US"/>
        </w:rPr>
        <w:t>(b)     if the safeguarding agency cannot contact the adult, despite extensive efforts to do so; or</w:t>
      </w:r>
    </w:p>
    <w:p w14:paraId="21B7B4E3" w14:textId="77777777" w:rsidR="00B108C4" w:rsidRPr="003C520F" w:rsidRDefault="00B108C4" w:rsidP="00B108C4">
      <w:pPr>
        <w:spacing w:before="100" w:beforeAutospacing="1" w:after="100" w:afterAutospacing="1"/>
        <w:ind w:left="720" w:firstLine="720"/>
        <w:rPr>
          <w:rFonts w:eastAsia="Times New Roman" w:cs="Times New Roman"/>
          <w:sz w:val="20"/>
          <w:szCs w:val="20"/>
          <w:lang w:val="en-US"/>
        </w:rPr>
      </w:pPr>
      <w:r w:rsidRPr="003C520F">
        <w:rPr>
          <w:rFonts w:eastAsia="Times New Roman" w:cs="Times New Roman"/>
          <w:sz w:val="20"/>
          <w:szCs w:val="20"/>
          <w:lang w:val="en-US"/>
        </w:rPr>
        <w:t>(c)     if the adult lacks the legal capacity to give consent, in the circumstances.</w:t>
      </w:r>
    </w:p>
    <w:p w14:paraId="1FA33C03" w14:textId="77777777" w:rsidR="00B108C4" w:rsidRPr="003C520F" w:rsidRDefault="00B108C4" w:rsidP="00B108C4">
      <w:pPr>
        <w:pStyle w:val="ListParagraph"/>
        <w:numPr>
          <w:ilvl w:val="0"/>
          <w:numId w:val="1"/>
        </w:numPr>
        <w:rPr>
          <w:rFonts w:cs="Times New Roman"/>
          <w:sz w:val="20"/>
          <w:szCs w:val="20"/>
        </w:rPr>
      </w:pPr>
      <w:r w:rsidRPr="003C520F">
        <w:rPr>
          <w:rFonts w:cs="Times New Roman"/>
          <w:sz w:val="20"/>
          <w:szCs w:val="20"/>
        </w:rPr>
        <w:t>Recommendation 14-5</w:t>
      </w:r>
      <w:r w:rsidRPr="003C520F">
        <w:rPr>
          <w:rFonts w:cs="Times New Roman"/>
          <w:sz w:val="20"/>
          <w:szCs w:val="20"/>
        </w:rPr>
        <w:tab/>
      </w:r>
      <w:r w:rsidRPr="003C520F">
        <w:rPr>
          <w:rFonts w:eastAsia="Times New Roman" w:cs="Times New Roman"/>
          <w:sz w:val="20"/>
          <w:szCs w:val="20"/>
          <w:lang w:val="en-US"/>
        </w:rPr>
        <w:t xml:space="preserve">Adult safeguarding laws should provide that, where a safeguarding agency has </w:t>
      </w:r>
      <w:r w:rsidRPr="003C520F">
        <w:rPr>
          <w:rFonts w:eastAsia="Times New Roman" w:cs="Times New Roman"/>
          <w:b/>
          <w:sz w:val="20"/>
          <w:szCs w:val="20"/>
          <w:u w:val="single"/>
          <w:lang w:val="en-US"/>
        </w:rPr>
        <w:t>reasonable grounds</w:t>
      </w:r>
      <w:r w:rsidRPr="003C520F">
        <w:rPr>
          <w:rFonts w:eastAsia="Times New Roman" w:cs="Times New Roman"/>
          <w:sz w:val="20"/>
          <w:szCs w:val="20"/>
          <w:lang w:val="en-US"/>
        </w:rPr>
        <w:t xml:space="preserve"> to conclude that a person is an at-risk adult, the agency may take the following actions, </w:t>
      </w:r>
      <w:r w:rsidRPr="003C520F">
        <w:rPr>
          <w:rFonts w:eastAsia="Times New Roman" w:cs="Times New Roman"/>
          <w:b/>
          <w:sz w:val="20"/>
          <w:szCs w:val="20"/>
          <w:u w:val="single"/>
          <w:lang w:val="en-US"/>
        </w:rPr>
        <w:t>with the adult’s consent</w:t>
      </w:r>
      <w:r w:rsidRPr="003C520F">
        <w:rPr>
          <w:rFonts w:eastAsia="Times New Roman" w:cs="Times New Roman"/>
          <w:sz w:val="20"/>
          <w:szCs w:val="20"/>
          <w:lang w:val="en-US"/>
        </w:rPr>
        <w:t>:</w:t>
      </w:r>
    </w:p>
    <w:p w14:paraId="544206DF" w14:textId="77777777" w:rsidR="00B108C4" w:rsidRPr="003C520F" w:rsidRDefault="00B108C4" w:rsidP="00B108C4">
      <w:pPr>
        <w:spacing w:before="100" w:beforeAutospacing="1" w:after="100" w:afterAutospacing="1"/>
        <w:ind w:firstLine="720"/>
        <w:rPr>
          <w:rFonts w:eastAsia="Times New Roman" w:cs="Times New Roman"/>
          <w:sz w:val="20"/>
          <w:szCs w:val="20"/>
          <w:lang w:val="en-US"/>
        </w:rPr>
      </w:pPr>
      <w:r w:rsidRPr="003C520F">
        <w:rPr>
          <w:rFonts w:eastAsia="Times New Roman" w:cs="Times New Roman"/>
          <w:sz w:val="20"/>
          <w:szCs w:val="20"/>
          <w:lang w:val="en-US"/>
        </w:rPr>
        <w:t>(a)     coordinate legal, medical and other services for the adult;</w:t>
      </w:r>
    </w:p>
    <w:p w14:paraId="040E734E" w14:textId="77777777" w:rsidR="00B108C4" w:rsidRPr="003C520F" w:rsidRDefault="00B108C4" w:rsidP="00B108C4">
      <w:pPr>
        <w:spacing w:before="100" w:beforeAutospacing="1" w:after="100" w:afterAutospacing="1"/>
        <w:ind w:left="720"/>
        <w:rPr>
          <w:rFonts w:eastAsia="Times New Roman" w:cs="Times New Roman"/>
          <w:sz w:val="20"/>
          <w:szCs w:val="20"/>
          <w:lang w:val="en-US"/>
        </w:rPr>
      </w:pPr>
      <w:r w:rsidRPr="003C520F">
        <w:rPr>
          <w:rFonts w:eastAsia="Times New Roman" w:cs="Times New Roman"/>
          <w:sz w:val="20"/>
          <w:szCs w:val="20"/>
          <w:lang w:val="en-US"/>
        </w:rPr>
        <w:t>(b)     meet with relevant government agencies and other bodies and professionals to prepare a plan to stop the abuse and support the adult;</w:t>
      </w:r>
    </w:p>
    <w:p w14:paraId="396A2618" w14:textId="77777777" w:rsidR="00B108C4" w:rsidRPr="003C520F" w:rsidRDefault="00B108C4" w:rsidP="00B108C4">
      <w:pPr>
        <w:spacing w:before="100" w:beforeAutospacing="1" w:after="100" w:afterAutospacing="1"/>
        <w:ind w:firstLine="720"/>
        <w:rPr>
          <w:rFonts w:eastAsia="Times New Roman" w:cs="Times New Roman"/>
          <w:sz w:val="20"/>
          <w:szCs w:val="20"/>
          <w:lang w:val="en-US"/>
        </w:rPr>
      </w:pPr>
      <w:r w:rsidRPr="003C520F">
        <w:rPr>
          <w:rFonts w:eastAsia="Times New Roman" w:cs="Times New Roman"/>
          <w:sz w:val="20"/>
          <w:szCs w:val="20"/>
          <w:lang w:val="en-US"/>
        </w:rPr>
        <w:t>(c)     report the abuse to the police;</w:t>
      </w:r>
    </w:p>
    <w:p w14:paraId="38442762" w14:textId="77777777" w:rsidR="00B108C4" w:rsidRPr="003C520F" w:rsidRDefault="00B108C4" w:rsidP="00B108C4">
      <w:pPr>
        <w:spacing w:before="100" w:beforeAutospacing="1" w:after="100" w:afterAutospacing="1"/>
        <w:ind w:left="720"/>
        <w:rPr>
          <w:rFonts w:eastAsia="Times New Roman" w:cs="Times New Roman"/>
          <w:sz w:val="20"/>
          <w:szCs w:val="20"/>
          <w:lang w:val="en-US"/>
        </w:rPr>
      </w:pPr>
      <w:r w:rsidRPr="003C520F">
        <w:rPr>
          <w:rFonts w:eastAsia="Times New Roman" w:cs="Times New Roman"/>
          <w:sz w:val="20"/>
          <w:szCs w:val="20"/>
          <w:lang w:val="en-US"/>
        </w:rPr>
        <w:t>(d)     apply for a court order in relation to the person thought to be committing the abuse (for example, a violence intervention order); or</w:t>
      </w:r>
    </w:p>
    <w:p w14:paraId="29A7AB14" w14:textId="77777777" w:rsidR="00B108C4" w:rsidRPr="003C520F" w:rsidRDefault="00B108C4" w:rsidP="00B108C4">
      <w:pPr>
        <w:spacing w:before="100" w:beforeAutospacing="1" w:after="100" w:afterAutospacing="1"/>
        <w:ind w:firstLine="720"/>
        <w:rPr>
          <w:rFonts w:eastAsia="Times New Roman" w:cs="Times New Roman"/>
          <w:sz w:val="20"/>
          <w:szCs w:val="20"/>
          <w:lang w:val="en-US"/>
        </w:rPr>
      </w:pPr>
      <w:r w:rsidRPr="003C520F">
        <w:rPr>
          <w:rFonts w:eastAsia="Times New Roman" w:cs="Times New Roman"/>
          <w:sz w:val="20"/>
          <w:szCs w:val="20"/>
          <w:lang w:val="en-US"/>
        </w:rPr>
        <w:t>(e)     decide to take no further action.</w:t>
      </w:r>
    </w:p>
    <w:p w14:paraId="205AD4E4" w14:textId="77777777" w:rsidR="00B108C4" w:rsidRPr="003C520F" w:rsidRDefault="00B108C4" w:rsidP="00B108C4">
      <w:pPr>
        <w:pStyle w:val="ListParagraph"/>
        <w:numPr>
          <w:ilvl w:val="0"/>
          <w:numId w:val="1"/>
        </w:numPr>
        <w:spacing w:line="276" w:lineRule="auto"/>
        <w:rPr>
          <w:rFonts w:cs="Times New Roman"/>
          <w:b/>
          <w:bCs/>
          <w:sz w:val="20"/>
          <w:szCs w:val="20"/>
        </w:rPr>
      </w:pPr>
      <w:r w:rsidRPr="003C520F">
        <w:rPr>
          <w:rFonts w:cs="Times New Roman"/>
          <w:sz w:val="20"/>
          <w:szCs w:val="20"/>
        </w:rPr>
        <w:t xml:space="preserve">Recommendation 14-6 </w:t>
      </w:r>
      <w:r w:rsidRPr="003C520F">
        <w:rPr>
          <w:rFonts w:cs="Times New Roman"/>
          <w:sz w:val="20"/>
          <w:szCs w:val="20"/>
        </w:rPr>
        <w:tab/>
        <w:t xml:space="preserve">Adult safeguarding laws should provide adult safeguarding agencies with necessary coercive information-gathering powers, such as the power to require a person to answer questions and produce documents. Agencies should only be able to exercise such powers where they have </w:t>
      </w:r>
      <w:r w:rsidRPr="003C520F">
        <w:rPr>
          <w:rFonts w:cs="Times New Roman"/>
          <w:b/>
          <w:sz w:val="20"/>
          <w:szCs w:val="20"/>
          <w:u w:val="single"/>
        </w:rPr>
        <w:lastRenderedPageBreak/>
        <w:t>reasonable</w:t>
      </w:r>
      <w:r w:rsidRPr="003C520F">
        <w:rPr>
          <w:rFonts w:cs="Times New Roman"/>
          <w:sz w:val="20"/>
          <w:szCs w:val="20"/>
        </w:rPr>
        <w:t xml:space="preserve"> grounds to suspect that there is ‘</w:t>
      </w:r>
      <w:r w:rsidRPr="003C520F">
        <w:rPr>
          <w:rFonts w:cs="Times New Roman"/>
          <w:b/>
          <w:sz w:val="20"/>
          <w:szCs w:val="20"/>
        </w:rPr>
        <w:t>serious abuse</w:t>
      </w:r>
      <w:r w:rsidRPr="003C520F">
        <w:rPr>
          <w:rFonts w:cs="Times New Roman"/>
          <w:sz w:val="20"/>
          <w:szCs w:val="20"/>
        </w:rPr>
        <w:t xml:space="preserve">’ of an at-risk adult, and </w:t>
      </w:r>
      <w:r w:rsidRPr="003C520F">
        <w:rPr>
          <w:rFonts w:cs="Times New Roman"/>
          <w:b/>
          <w:sz w:val="20"/>
          <w:szCs w:val="20"/>
          <w:u w:val="single"/>
        </w:rPr>
        <w:t>only to the extent</w:t>
      </w:r>
      <w:r w:rsidRPr="003C520F">
        <w:rPr>
          <w:rFonts w:cs="Times New Roman"/>
          <w:sz w:val="20"/>
          <w:szCs w:val="20"/>
        </w:rPr>
        <w:t xml:space="preserve"> that it </w:t>
      </w:r>
      <w:r w:rsidRPr="003C520F">
        <w:rPr>
          <w:rFonts w:cs="Times New Roman"/>
          <w:b/>
          <w:sz w:val="20"/>
          <w:szCs w:val="20"/>
          <w:u w:val="single"/>
        </w:rPr>
        <w:t>is necessary</w:t>
      </w:r>
      <w:r w:rsidRPr="003C520F">
        <w:rPr>
          <w:rFonts w:cs="Times New Roman"/>
          <w:sz w:val="20"/>
          <w:szCs w:val="20"/>
        </w:rPr>
        <w:t xml:space="preserve"> to safeguard and support the at-risk adult.</w:t>
      </w:r>
    </w:p>
    <w:p w14:paraId="57A5F243" w14:textId="7FE48A8E" w:rsidR="00B108C4" w:rsidRPr="003C520F" w:rsidRDefault="00B108C4" w:rsidP="00B108C4">
      <w:pPr>
        <w:pStyle w:val="Heading1"/>
        <w:spacing w:before="0" w:line="276" w:lineRule="auto"/>
        <w:rPr>
          <w:rFonts w:ascii="Times New Roman" w:hAnsi="Times New Roman" w:cs="Times New Roman"/>
          <w:b/>
          <w:color w:val="auto"/>
          <w:sz w:val="24"/>
          <w:szCs w:val="24"/>
        </w:rPr>
      </w:pPr>
      <w:r w:rsidRPr="003C520F">
        <w:rPr>
          <w:rFonts w:ascii="Times New Roman" w:hAnsi="Times New Roman" w:cs="Times New Roman"/>
          <w:b/>
          <w:color w:val="auto"/>
          <w:sz w:val="24"/>
          <w:szCs w:val="24"/>
        </w:rPr>
        <w:t xml:space="preserve"> </w:t>
      </w:r>
    </w:p>
    <w:p w14:paraId="144BE077" w14:textId="77777777" w:rsidR="00B108C4" w:rsidRDefault="00B108C4" w:rsidP="00B108C4">
      <w:pPr>
        <w:rPr>
          <w:rFonts w:eastAsia="Times New Roman" w:cs="Times New Roman"/>
          <w:szCs w:val="24"/>
        </w:rPr>
      </w:pPr>
      <w:r>
        <w:rPr>
          <w:rFonts w:eastAsia="Times New Roman" w:cs="Times New Roman"/>
          <w:szCs w:val="24"/>
        </w:rPr>
        <w:t xml:space="preserve">The ALRC called for these Recommendations to be incorporated into uniform laws across the Australian states. </w:t>
      </w:r>
    </w:p>
    <w:p w14:paraId="12005251" w14:textId="77777777" w:rsidR="00B108C4" w:rsidRPr="00A65D08" w:rsidRDefault="00B108C4" w:rsidP="00B108C4">
      <w:pPr>
        <w:pStyle w:val="Heading1"/>
      </w:pPr>
      <w:r>
        <w:t xml:space="preserve">Q7. </w:t>
      </w:r>
      <w:r w:rsidR="00361F7D">
        <w:t xml:space="preserve">The role of </w:t>
      </w:r>
      <w:r>
        <w:t>ACAT</w:t>
      </w:r>
      <w:r w:rsidR="00361F7D">
        <w:t xml:space="preserve"> and other Commonwealth agencies</w:t>
      </w:r>
    </w:p>
    <w:p w14:paraId="30396A4A" w14:textId="2797A6E6" w:rsidR="00B108C4" w:rsidRPr="001F1BEC" w:rsidRDefault="00B108C4" w:rsidP="007F3D03">
      <w:pPr>
        <w:rPr>
          <w:lang w:eastAsia="en-AU"/>
        </w:rPr>
      </w:pPr>
      <w:r w:rsidRPr="001F1BEC">
        <w:rPr>
          <w:lang w:eastAsia="en-AU"/>
        </w:rPr>
        <w:t xml:space="preserve">Older people with dementia and others at risk of abuse could require specific monitoring services. If assessed by ACAT as requiring high level residential care, then those who are to remain in the care </w:t>
      </w:r>
      <w:r w:rsidRPr="007F3D03">
        <w:t>of relatives/others could be referred to an advocacy/monitoring service which could be funded under the </w:t>
      </w:r>
      <w:r w:rsidRPr="007F3D03">
        <w:rPr>
          <w:i/>
        </w:rPr>
        <w:t>Aged Care Act 1997</w:t>
      </w:r>
      <w:r w:rsidRPr="007F3D03">
        <w:t>. The Home Care Packages provide a subsidy to an approved provider of home care to coordinate a package of care, services and case management to meet the individual needs of older Australians. </w:t>
      </w:r>
      <w:r w:rsidRPr="001F1BEC">
        <w:rPr>
          <w:lang w:eastAsia="en-AU"/>
        </w:rPr>
        <w:t>ACAT/GP assessment could create an alert system to anyone remaining in the community but designated as needing high level residential care</w:t>
      </w:r>
      <w:r w:rsidR="006A09F0">
        <w:rPr>
          <w:lang w:eastAsia="en-AU"/>
        </w:rPr>
        <w:t>, r</w:t>
      </w:r>
      <w:r w:rsidRPr="001F1BEC">
        <w:rPr>
          <w:lang w:eastAsia="en-AU"/>
        </w:rPr>
        <w:t xml:space="preserve">equiring </w:t>
      </w:r>
      <w:r w:rsidR="006A09F0">
        <w:rPr>
          <w:lang w:eastAsia="en-AU"/>
        </w:rPr>
        <w:t xml:space="preserve">a </w:t>
      </w:r>
      <w:r w:rsidRPr="001F1BEC">
        <w:rPr>
          <w:lang w:eastAsia="en-AU"/>
        </w:rPr>
        <w:t>response, such as visit by advocate and nursing specialists</w:t>
      </w:r>
      <w:r w:rsidR="00906651">
        <w:rPr>
          <w:lang w:eastAsia="en-AU"/>
        </w:rPr>
        <w:t xml:space="preserve"> (see our response to Q5 above).</w:t>
      </w:r>
      <w:r w:rsidRPr="001F1BEC">
        <w:rPr>
          <w:lang w:eastAsia="en-AU"/>
        </w:rPr>
        <w:t xml:space="preserve"> Ideally</w:t>
      </w:r>
      <w:r w:rsidR="0041296A">
        <w:rPr>
          <w:lang w:eastAsia="en-AU"/>
        </w:rPr>
        <w:t>,</w:t>
      </w:r>
      <w:r w:rsidRPr="001F1BEC">
        <w:rPr>
          <w:lang w:eastAsia="en-AU"/>
        </w:rPr>
        <w:t xml:space="preserve"> a system will be created through consultation with expert practitioners in the area of looking after vulnerable people.</w:t>
      </w:r>
    </w:p>
    <w:p w14:paraId="546CB06D" w14:textId="4257A720" w:rsidR="00906651" w:rsidRDefault="00B108C4" w:rsidP="007F3D03">
      <w:pPr>
        <w:rPr>
          <w:lang w:eastAsia="en-AU"/>
        </w:rPr>
      </w:pPr>
      <w:r w:rsidRPr="001F1BEC">
        <w:rPr>
          <w:lang w:eastAsia="en-AU"/>
        </w:rPr>
        <w:t>Such a system might include</w:t>
      </w:r>
      <w:r w:rsidR="00906651">
        <w:rPr>
          <w:lang w:eastAsia="en-AU"/>
        </w:rPr>
        <w:t>:</w:t>
      </w:r>
      <w:r w:rsidRPr="001F1BEC">
        <w:rPr>
          <w:lang w:eastAsia="en-AU"/>
        </w:rPr>
        <w:t xml:space="preserve"> </w:t>
      </w:r>
    </w:p>
    <w:p w14:paraId="68B91A6A" w14:textId="77777777" w:rsidR="00906651" w:rsidRDefault="00B108C4" w:rsidP="007F3D03">
      <w:pPr>
        <w:pStyle w:val="ListParagraph"/>
        <w:numPr>
          <w:ilvl w:val="0"/>
          <w:numId w:val="18"/>
        </w:numPr>
        <w:rPr>
          <w:lang w:eastAsia="en-AU"/>
        </w:rPr>
      </w:pPr>
      <w:r w:rsidRPr="001F1BEC">
        <w:rPr>
          <w:lang w:eastAsia="en-AU"/>
        </w:rPr>
        <w:t>independent advocates who can speak on behalf of the person with dementia</w:t>
      </w:r>
    </w:p>
    <w:p w14:paraId="20374607" w14:textId="112561ED" w:rsidR="00906651" w:rsidRDefault="00906651" w:rsidP="007F3D03">
      <w:pPr>
        <w:pStyle w:val="ListParagraph"/>
        <w:numPr>
          <w:ilvl w:val="0"/>
          <w:numId w:val="18"/>
        </w:numPr>
        <w:rPr>
          <w:lang w:eastAsia="en-AU"/>
        </w:rPr>
      </w:pPr>
      <w:r>
        <w:rPr>
          <w:lang w:eastAsia="en-AU"/>
        </w:rPr>
        <w:t xml:space="preserve">funded </w:t>
      </w:r>
      <w:r w:rsidR="00B108C4" w:rsidRPr="001F1BEC">
        <w:rPr>
          <w:lang w:eastAsia="en-AU"/>
        </w:rPr>
        <w:t>3-6 monthly monitoring and reporting</w:t>
      </w:r>
      <w:r>
        <w:rPr>
          <w:lang w:eastAsia="en-AU"/>
        </w:rPr>
        <w:t xml:space="preserve"> that includes:</w:t>
      </w:r>
    </w:p>
    <w:p w14:paraId="03863524" w14:textId="2155E773" w:rsidR="00906651" w:rsidRDefault="00B108C4" w:rsidP="007F3D03">
      <w:pPr>
        <w:pStyle w:val="ListParagraph"/>
        <w:numPr>
          <w:ilvl w:val="1"/>
          <w:numId w:val="18"/>
        </w:numPr>
        <w:rPr>
          <w:lang w:eastAsia="en-AU"/>
        </w:rPr>
      </w:pPr>
      <w:r w:rsidRPr="001F1BEC">
        <w:rPr>
          <w:lang w:eastAsia="en-AU"/>
        </w:rPr>
        <w:t xml:space="preserve">assessment of weight and physical condition, </w:t>
      </w:r>
      <w:r w:rsidR="00906651">
        <w:rPr>
          <w:lang w:eastAsia="en-AU"/>
        </w:rPr>
        <w:t xml:space="preserve">including </w:t>
      </w:r>
      <w:r w:rsidRPr="001F1BEC">
        <w:rPr>
          <w:lang w:eastAsia="en-AU"/>
        </w:rPr>
        <w:t>through visits by specialist Nurse Practitioners/Community Nurses</w:t>
      </w:r>
    </w:p>
    <w:p w14:paraId="7562E530" w14:textId="2440E1BD" w:rsidR="00D262ED" w:rsidRDefault="00D262ED" w:rsidP="007F3D03">
      <w:pPr>
        <w:pStyle w:val="ListParagraph"/>
        <w:numPr>
          <w:ilvl w:val="1"/>
          <w:numId w:val="18"/>
        </w:numPr>
        <w:rPr>
          <w:lang w:eastAsia="en-AU"/>
        </w:rPr>
      </w:pPr>
      <w:r>
        <w:rPr>
          <w:lang w:eastAsia="en-AU"/>
        </w:rPr>
        <w:t xml:space="preserve">where a Home Care package is in place, case managers or aged care workers could have a formal monitoring role </w:t>
      </w:r>
    </w:p>
    <w:p w14:paraId="4EB15B34" w14:textId="0400400F" w:rsidR="00293204" w:rsidRDefault="00906651" w:rsidP="007F3D03">
      <w:pPr>
        <w:pStyle w:val="ListParagraph"/>
        <w:numPr>
          <w:ilvl w:val="0"/>
          <w:numId w:val="18"/>
        </w:numPr>
        <w:rPr>
          <w:lang w:eastAsia="en-AU"/>
        </w:rPr>
      </w:pPr>
      <w:r>
        <w:rPr>
          <w:lang w:eastAsia="en-AU"/>
        </w:rPr>
        <w:t>c</w:t>
      </w:r>
      <w:r w:rsidR="00B108C4" w:rsidRPr="001F1BEC">
        <w:rPr>
          <w:lang w:eastAsia="en-AU"/>
        </w:rPr>
        <w:t xml:space="preserve">arers </w:t>
      </w:r>
      <w:r>
        <w:rPr>
          <w:lang w:eastAsia="en-AU"/>
        </w:rPr>
        <w:t>being</w:t>
      </w:r>
      <w:r w:rsidR="00B108C4" w:rsidRPr="001F1BEC">
        <w:rPr>
          <w:lang w:eastAsia="en-AU"/>
        </w:rPr>
        <w:t xml:space="preserve"> required to accept some minimal levels of assistance if it is felt that the older person with high care needs is not receiving adequate care</w:t>
      </w:r>
      <w:r w:rsidR="006A09F0">
        <w:rPr>
          <w:lang w:eastAsia="en-AU"/>
        </w:rPr>
        <w:t>.</w:t>
      </w:r>
      <w:r w:rsidR="00293204">
        <w:rPr>
          <w:lang w:eastAsia="en-AU"/>
        </w:rPr>
        <w:t xml:space="preserve"> </w:t>
      </w:r>
      <w:r w:rsidR="0041296A">
        <w:rPr>
          <w:lang w:eastAsia="en-AU"/>
        </w:rPr>
        <w:t xml:space="preserve">While this </w:t>
      </w:r>
      <w:r w:rsidR="00293204">
        <w:rPr>
          <w:lang w:eastAsia="en-AU"/>
        </w:rPr>
        <w:t>draws attention to questions of dignity of risk, and of infringing individual rights</w:t>
      </w:r>
      <w:r w:rsidR="0041296A">
        <w:rPr>
          <w:lang w:eastAsia="en-AU"/>
        </w:rPr>
        <w:t xml:space="preserve">, when </w:t>
      </w:r>
      <w:r w:rsidR="0041296A">
        <w:rPr>
          <w:noProof/>
        </w:rPr>
        <w:t>the person has dementia the issue of dignity eventually becomes one of the right to adequate care, as the person loses the capacity to decide and to care for themselves.</w:t>
      </w:r>
      <w:r w:rsidR="00B108C4" w:rsidRPr="001F1BEC">
        <w:rPr>
          <w:lang w:eastAsia="en-AU"/>
        </w:rPr>
        <w:t xml:space="preserve"> </w:t>
      </w:r>
    </w:p>
    <w:p w14:paraId="23D239E7" w14:textId="7A472340" w:rsidR="00361F7D" w:rsidRDefault="00B108C4">
      <w:pPr>
        <w:rPr>
          <w:rFonts w:cs="Times New Roman"/>
          <w:szCs w:val="24"/>
        </w:rPr>
        <w:sectPr w:rsidR="00361F7D" w:rsidSect="005A2C26">
          <w:headerReference w:type="default"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pPr>
      <w:r w:rsidRPr="001F1BEC">
        <w:rPr>
          <w:lang w:eastAsia="en-AU"/>
        </w:rPr>
        <w:t>While regular visits with a GP should be mandated, GPs are probably not best placed to make the home visit care assessments, as most care required by these individuals is ‘nursing care’</w:t>
      </w:r>
      <w:r w:rsidR="00C64141">
        <w:rPr>
          <w:lang w:eastAsia="en-AU"/>
        </w:rPr>
        <w:t xml:space="preserve"> or support with the activities of daily living (ADLs). ACATs can refer clients for this support</w:t>
      </w:r>
      <w:r w:rsidRPr="001F1BEC">
        <w:rPr>
          <w:lang w:eastAsia="en-AU"/>
        </w:rPr>
        <w:t>.</w:t>
      </w:r>
      <w:r w:rsidR="00293204" w:rsidRPr="001F1BEC" w:rsidDel="00293204">
        <w:rPr>
          <w:lang w:eastAsia="en-AU"/>
        </w:rPr>
        <w:t xml:space="preserve"> </w:t>
      </w:r>
    </w:p>
    <w:p w14:paraId="53040D5C" w14:textId="77777777" w:rsidR="00A84D9A" w:rsidRDefault="00A84D9A">
      <w:pPr>
        <w:rPr>
          <w:rFonts w:cs="Times New Roman"/>
          <w:szCs w:val="24"/>
        </w:rPr>
      </w:pPr>
      <w:r w:rsidRPr="00A84D9A">
        <w:rPr>
          <w:rFonts w:ascii="Calibri Light" w:eastAsia="Times New Roman" w:hAnsi="Calibri Light" w:cs="Times New Roman"/>
          <w:noProof/>
          <w:color w:val="2E74B5"/>
          <w:sz w:val="26"/>
          <w:szCs w:val="26"/>
          <w:lang w:eastAsia="en-AU"/>
        </w:rPr>
        <w:lastRenderedPageBreak/>
        <w:drawing>
          <wp:inline distT="0" distB="0" distL="0" distR="0" wp14:anchorId="64BE6778" wp14:editId="77945ACE">
            <wp:extent cx="8229600" cy="5443538"/>
            <wp:effectExtent l="0" t="0" r="0" b="5080"/>
            <wp:docPr id="3" name="Chart 3" descr="Line chart that plots each project on the corresponding timeframe." title="Project Timelin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817656" w14:textId="77777777" w:rsidR="00361F7D" w:rsidRPr="007F4CC6" w:rsidRDefault="00361F7D">
      <w:pPr>
        <w:rPr>
          <w:rFonts w:cs="Times New Roman"/>
          <w:szCs w:val="24"/>
        </w:rPr>
      </w:pPr>
      <w:r>
        <w:rPr>
          <w:rFonts w:cs="Times New Roman"/>
          <w:szCs w:val="24"/>
        </w:rPr>
        <w:t>Appendix 1: Time-line</w:t>
      </w:r>
      <w:r w:rsidR="00B22B4D">
        <w:rPr>
          <w:rFonts w:cs="Times New Roman"/>
          <w:szCs w:val="24"/>
        </w:rPr>
        <w:t xml:space="preserve"> (MM=Mrs </w:t>
      </w:r>
      <w:proofErr w:type="spellStart"/>
      <w:r w:rsidR="00B22B4D">
        <w:rPr>
          <w:rFonts w:cs="Times New Roman"/>
          <w:szCs w:val="24"/>
        </w:rPr>
        <w:t>Mackozdi</w:t>
      </w:r>
      <w:proofErr w:type="spellEnd"/>
      <w:r w:rsidR="00B22B4D">
        <w:rPr>
          <w:rFonts w:cs="Times New Roman"/>
          <w:szCs w:val="24"/>
        </w:rPr>
        <w:t>)</w:t>
      </w:r>
    </w:p>
    <w:sectPr w:rsidR="00361F7D" w:rsidRPr="007F4CC6" w:rsidSect="00A84D9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038B0" w14:textId="77777777" w:rsidR="00733AC8" w:rsidRDefault="00733AC8" w:rsidP="00555806">
      <w:r>
        <w:separator/>
      </w:r>
    </w:p>
  </w:endnote>
  <w:endnote w:type="continuationSeparator" w:id="0">
    <w:p w14:paraId="0B190326" w14:textId="77777777" w:rsidR="00733AC8" w:rsidRDefault="00733AC8" w:rsidP="0055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Times-Roman">
    <w:altName w:val="Times"/>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514524102"/>
      <w:docPartObj>
        <w:docPartGallery w:val="Page Numbers (Bottom of Page)"/>
        <w:docPartUnique/>
      </w:docPartObj>
    </w:sdtPr>
    <w:sdtEndPr>
      <w:rPr>
        <w:noProof/>
      </w:rPr>
    </w:sdtEndPr>
    <w:sdtContent>
      <w:p w14:paraId="70167E3E" w14:textId="585B2EF5" w:rsidR="005A2C26" w:rsidRPr="007F3D03" w:rsidRDefault="005A2C26" w:rsidP="007F3D03">
        <w:pPr>
          <w:pStyle w:val="Footer"/>
          <w:spacing w:before="240" w:after="0" w:line="240" w:lineRule="auto"/>
          <w:jc w:val="center"/>
          <w:rPr>
            <w:rFonts w:ascii="Century Gothic" w:hAnsi="Century Gothic"/>
          </w:rPr>
        </w:pPr>
        <w:r w:rsidRPr="007F3D03">
          <w:rPr>
            <w:rFonts w:ascii="Century Gothic" w:hAnsi="Century Gothic"/>
          </w:rPr>
          <w:fldChar w:fldCharType="begin"/>
        </w:r>
        <w:r w:rsidRPr="007F3D03">
          <w:rPr>
            <w:rFonts w:ascii="Century Gothic" w:hAnsi="Century Gothic"/>
          </w:rPr>
          <w:instrText xml:space="preserve"> PAGE   \* MERGEFORMAT </w:instrText>
        </w:r>
        <w:r w:rsidRPr="007F3D03">
          <w:rPr>
            <w:rFonts w:ascii="Century Gothic" w:hAnsi="Century Gothic"/>
          </w:rPr>
          <w:fldChar w:fldCharType="separate"/>
        </w:r>
        <w:r w:rsidR="009C641E">
          <w:rPr>
            <w:rFonts w:ascii="Century Gothic" w:hAnsi="Century Gothic"/>
            <w:noProof/>
          </w:rPr>
          <w:t>22</w:t>
        </w:r>
        <w:r w:rsidRPr="007F3D03">
          <w:rPr>
            <w:rFonts w:ascii="Century Gothic" w:hAnsi="Century Gothic"/>
            <w:noProof/>
          </w:rPr>
          <w:fldChar w:fldCharType="end"/>
        </w:r>
      </w:p>
    </w:sdtContent>
  </w:sdt>
  <w:p w14:paraId="68756D4F" w14:textId="43067C71" w:rsidR="005A2C26" w:rsidRPr="00E006FC" w:rsidRDefault="005A2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0E23A" w14:textId="77777777" w:rsidR="005A2C26" w:rsidRPr="007F3D03" w:rsidRDefault="005A2C26" w:rsidP="007F3D03">
    <w:pPr>
      <w:pStyle w:val="Footer"/>
      <w:tabs>
        <w:tab w:val="clear" w:pos="9360"/>
      </w:tabs>
      <w:spacing w:before="240" w:after="0"/>
      <w:rPr>
        <w:rFonts w:ascii="Century Gothic" w:hAnsi="Century Gothic"/>
        <w:sz w:val="20"/>
        <w:szCs w:val="20"/>
      </w:rPr>
    </w:pPr>
    <w:r w:rsidRPr="007F3D03">
      <w:rPr>
        <w:rFonts w:ascii="Century Gothic" w:hAnsi="Century Gothic"/>
        <w:sz w:val="20"/>
        <w:szCs w:val="20"/>
        <w:lang w:val="en-US"/>
      </w:rPr>
      <w:t>Wednesday, July 19, 2017</w:t>
    </w:r>
    <w:r w:rsidRPr="007F3D03">
      <w:rPr>
        <w:rFonts w:ascii="Century Gothic" w:hAnsi="Century Gothic"/>
        <w:sz w:val="20"/>
        <w:szCs w:val="20"/>
        <w:lang w:val="en-US"/>
      </w:rPr>
      <w:tab/>
    </w:r>
  </w:p>
  <w:p w14:paraId="4A0BEA8B" w14:textId="77777777" w:rsidR="005A2C26" w:rsidRPr="00E006FC" w:rsidRDefault="005A2C26" w:rsidP="00E00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D7845" w14:textId="77777777" w:rsidR="00733AC8" w:rsidRDefault="00733AC8" w:rsidP="00555806">
      <w:r>
        <w:separator/>
      </w:r>
    </w:p>
  </w:footnote>
  <w:footnote w:type="continuationSeparator" w:id="0">
    <w:p w14:paraId="179C34B3" w14:textId="77777777" w:rsidR="00733AC8" w:rsidRDefault="00733AC8" w:rsidP="00555806">
      <w:r>
        <w:continuationSeparator/>
      </w:r>
    </w:p>
  </w:footnote>
  <w:footnote w:id="1">
    <w:p w14:paraId="660AB697" w14:textId="77777777" w:rsidR="005A2C26" w:rsidRPr="0051261C" w:rsidRDefault="005A2C26" w:rsidP="007F3D03">
      <w:pPr>
        <w:pStyle w:val="FootnoteText"/>
        <w:spacing w:after="80" w:line="240" w:lineRule="auto"/>
      </w:pPr>
      <w:r w:rsidRPr="0051261C">
        <w:rPr>
          <w:rStyle w:val="FootnoteReference"/>
        </w:rPr>
        <w:footnoteRef/>
      </w:r>
      <w:r w:rsidRPr="0051261C">
        <w:t xml:space="preserve"> Protecting Older Tasmanians from Abuse (Department of Health and Human Services (Tas), 2010) 9. </w:t>
      </w:r>
    </w:p>
  </w:footnote>
  <w:footnote w:id="2">
    <w:p w14:paraId="440BBE62" w14:textId="77777777" w:rsidR="005A2C26" w:rsidRDefault="005A2C26" w:rsidP="007F3D03">
      <w:pPr>
        <w:pStyle w:val="FootnoteText"/>
        <w:spacing w:after="80" w:line="240" w:lineRule="auto"/>
      </w:pPr>
      <w:r>
        <w:rPr>
          <w:rStyle w:val="FootnoteReference"/>
        </w:rPr>
        <w:footnoteRef/>
      </w:r>
      <w:r>
        <w:t xml:space="preserve"> Protecting Older Tasmanians from Abuse, above n.1.</w:t>
      </w:r>
    </w:p>
  </w:footnote>
  <w:footnote w:id="3">
    <w:p w14:paraId="1193954A" w14:textId="77777777" w:rsidR="005A2C26" w:rsidRPr="0051261C" w:rsidRDefault="005A2C26" w:rsidP="007F3D03">
      <w:pPr>
        <w:pStyle w:val="FootnoteText"/>
        <w:spacing w:after="80" w:line="240" w:lineRule="auto"/>
      </w:pPr>
      <w:r w:rsidRPr="0051261C">
        <w:rPr>
          <w:rStyle w:val="FootnoteReference"/>
        </w:rPr>
        <w:footnoteRef/>
      </w:r>
      <w:r w:rsidRPr="0051261C">
        <w:t xml:space="preserve"> Action on Elder Abuse, http://elderabuse.org.uk/.</w:t>
      </w:r>
    </w:p>
  </w:footnote>
  <w:footnote w:id="4">
    <w:p w14:paraId="65D2E9A2" w14:textId="77777777" w:rsidR="005A2C26" w:rsidRPr="0051261C" w:rsidRDefault="005A2C26" w:rsidP="007F3D03">
      <w:pPr>
        <w:pStyle w:val="FootnoteText"/>
        <w:spacing w:after="80" w:line="240" w:lineRule="auto"/>
      </w:pPr>
      <w:r w:rsidRPr="0051261C">
        <w:rPr>
          <w:rStyle w:val="FootnoteReference"/>
        </w:rPr>
        <w:footnoteRef/>
      </w:r>
      <w:r w:rsidRPr="0051261C">
        <w:t xml:space="preserve"> International Network for the Prevention of Elder Abuse, http://www.inpea.net/</w:t>
      </w:r>
    </w:p>
  </w:footnote>
  <w:footnote w:id="5">
    <w:p w14:paraId="6759DD11" w14:textId="77777777" w:rsidR="005A2C26" w:rsidRPr="0051261C" w:rsidRDefault="005A2C26" w:rsidP="007F3D03">
      <w:pPr>
        <w:pStyle w:val="FootnoteText"/>
        <w:spacing w:after="80" w:line="240" w:lineRule="auto"/>
      </w:pPr>
      <w:r w:rsidRPr="0051261C">
        <w:rPr>
          <w:rStyle w:val="FootnoteReference"/>
        </w:rPr>
        <w:footnoteRef/>
      </w:r>
      <w:r w:rsidRPr="0051261C">
        <w:t xml:space="preserve"> </w:t>
      </w:r>
      <w:r w:rsidRPr="0051261C">
        <w:rPr>
          <w:rFonts w:cs="Calibri"/>
        </w:rPr>
        <w:t>Australian Network for the Prevention of Elder Abuse</w:t>
      </w:r>
      <w:r w:rsidRPr="0051261C">
        <w:t xml:space="preserve"> http://www.eapu.com.au/uploads/ANPEA/ANPEA%20Brochure%20Fill%20In.pdf</w:t>
      </w:r>
    </w:p>
  </w:footnote>
  <w:footnote w:id="6">
    <w:p w14:paraId="7D82C09F" w14:textId="77777777" w:rsidR="005A2C26" w:rsidRPr="0051261C" w:rsidRDefault="005A2C26" w:rsidP="007F3D03">
      <w:pPr>
        <w:pStyle w:val="FootnoteText"/>
        <w:spacing w:after="80" w:line="240" w:lineRule="auto"/>
      </w:pPr>
      <w:r w:rsidRPr="0051261C">
        <w:rPr>
          <w:rStyle w:val="FootnoteReference"/>
        </w:rPr>
        <w:footnoteRef/>
      </w:r>
      <w:r w:rsidRPr="0051261C">
        <w:t xml:space="preserve"> With respect to age – 2009. Victorian Government practice guidelines fo</w:t>
      </w:r>
      <w:r>
        <w:t xml:space="preserve">r health services and community </w:t>
      </w:r>
      <w:r w:rsidRPr="0051261C">
        <w:t>agencies for the prevention of elder abuse (Victorian Government, 2010) 4.</w:t>
      </w:r>
    </w:p>
  </w:footnote>
  <w:footnote w:id="7">
    <w:p w14:paraId="3F451F65" w14:textId="6DB7D48A" w:rsidR="005A2C26" w:rsidRPr="007F06D6" w:rsidRDefault="005A2C26" w:rsidP="007F3D03">
      <w:pPr>
        <w:autoSpaceDE w:val="0"/>
        <w:autoSpaceDN w:val="0"/>
        <w:adjustRightInd w:val="0"/>
        <w:spacing w:after="80" w:line="240" w:lineRule="auto"/>
        <w:rPr>
          <w:rFonts w:cs="Times New Roman"/>
          <w:sz w:val="20"/>
          <w:szCs w:val="20"/>
        </w:rPr>
      </w:pPr>
      <w:r>
        <w:rPr>
          <w:rStyle w:val="FootnoteReference"/>
        </w:rPr>
        <w:footnoteRef/>
      </w:r>
      <w:r>
        <w:t xml:space="preserve"> </w:t>
      </w:r>
      <w:r w:rsidRPr="00430F00">
        <w:rPr>
          <w:rFonts w:cs="Times-Roman"/>
          <w:sz w:val="20"/>
          <w:szCs w:val="20"/>
        </w:rPr>
        <w:t xml:space="preserve">Karen A. Roberto, The Complexities of Elder Abuse (2016) 71 </w:t>
      </w:r>
      <w:r w:rsidRPr="00430F00">
        <w:rPr>
          <w:rFonts w:cs="Times-Roman"/>
          <w:i/>
          <w:sz w:val="20"/>
          <w:szCs w:val="20"/>
        </w:rPr>
        <w:t>American Psychologist</w:t>
      </w:r>
      <w:r w:rsidRPr="00430F00">
        <w:rPr>
          <w:rFonts w:cs="Times-Roman"/>
          <w:sz w:val="20"/>
          <w:szCs w:val="20"/>
        </w:rPr>
        <w:t xml:space="preserve"> 302, 303.</w:t>
      </w:r>
    </w:p>
  </w:footnote>
  <w:footnote w:id="8">
    <w:p w14:paraId="59D24633" w14:textId="27996CAD" w:rsidR="005A2C26" w:rsidRPr="00B20802" w:rsidRDefault="005A2C26" w:rsidP="005A2C26">
      <w:pPr>
        <w:autoSpaceDE w:val="0"/>
        <w:autoSpaceDN w:val="0"/>
        <w:adjustRightInd w:val="0"/>
        <w:spacing w:after="80" w:line="240" w:lineRule="auto"/>
        <w:rPr>
          <w:rFonts w:cs="Times-Roman"/>
          <w:sz w:val="20"/>
          <w:szCs w:val="20"/>
        </w:rPr>
      </w:pPr>
      <w:r w:rsidRPr="00B20802">
        <w:rPr>
          <w:rStyle w:val="FootnoteReference"/>
        </w:rPr>
        <w:footnoteRef/>
      </w:r>
      <w:r w:rsidRPr="00B20802">
        <w:rPr>
          <w:sz w:val="20"/>
          <w:szCs w:val="20"/>
        </w:rPr>
        <w:t xml:space="preserve"> </w:t>
      </w:r>
      <w:r w:rsidRPr="00B20802">
        <w:rPr>
          <w:rFonts w:cs="Times-Roman"/>
          <w:sz w:val="20"/>
          <w:szCs w:val="20"/>
        </w:rPr>
        <w:t xml:space="preserve">World Health Organization, </w:t>
      </w:r>
      <w:r w:rsidRPr="00B20802">
        <w:rPr>
          <w:rFonts w:cs="Times-Italic"/>
          <w:i/>
          <w:iCs/>
          <w:sz w:val="20"/>
          <w:szCs w:val="20"/>
        </w:rPr>
        <w:t>Active ageing: A policy framework</w:t>
      </w:r>
      <w:r w:rsidRPr="00B20802">
        <w:rPr>
          <w:rFonts w:cs="Times-Roman"/>
          <w:sz w:val="20"/>
          <w:szCs w:val="20"/>
        </w:rPr>
        <w:t xml:space="preserve"> (WHO, 2002).</w:t>
      </w:r>
    </w:p>
  </w:footnote>
  <w:footnote w:id="9">
    <w:p w14:paraId="72DBEA91" w14:textId="77777777" w:rsidR="005A2C26" w:rsidRPr="000B0A7F" w:rsidRDefault="005A2C26" w:rsidP="005A2C26">
      <w:pPr>
        <w:autoSpaceDE w:val="0"/>
        <w:autoSpaceDN w:val="0"/>
        <w:adjustRightInd w:val="0"/>
        <w:spacing w:after="80" w:line="240" w:lineRule="auto"/>
        <w:rPr>
          <w:rFonts w:cs="Times-Italic"/>
          <w:i/>
          <w:iCs/>
          <w:sz w:val="20"/>
          <w:szCs w:val="20"/>
        </w:rPr>
      </w:pPr>
      <w:r w:rsidRPr="000B0A7F">
        <w:rPr>
          <w:rStyle w:val="FootnoteReference"/>
          <w:sz w:val="20"/>
          <w:szCs w:val="20"/>
        </w:rPr>
        <w:footnoteRef/>
      </w:r>
      <w:r w:rsidRPr="000B0A7F">
        <w:rPr>
          <w:sz w:val="20"/>
          <w:szCs w:val="20"/>
        </w:rPr>
        <w:t xml:space="preserve"> </w:t>
      </w:r>
      <w:r w:rsidRPr="000B0A7F">
        <w:rPr>
          <w:rFonts w:cs="Times-Roman"/>
          <w:sz w:val="20"/>
          <w:szCs w:val="20"/>
        </w:rPr>
        <w:t xml:space="preserve">Richard J. Bonnie and Robert b. Wallace, </w:t>
      </w:r>
      <w:r w:rsidRPr="000B0A7F">
        <w:rPr>
          <w:rFonts w:cs="Times-Italic"/>
          <w:i/>
          <w:iCs/>
          <w:sz w:val="20"/>
          <w:szCs w:val="20"/>
        </w:rPr>
        <w:t>Elder mistreatment: Abuse, neglect and exploitation in an aging America</w:t>
      </w:r>
      <w:r w:rsidRPr="000B0A7F">
        <w:rPr>
          <w:rFonts w:cs="Times-Roman"/>
          <w:sz w:val="20"/>
          <w:szCs w:val="20"/>
        </w:rPr>
        <w:t>. (Washington, DC: National Research</w:t>
      </w:r>
      <w:r w:rsidRPr="000B0A7F">
        <w:rPr>
          <w:rFonts w:cs="Times-Italic"/>
          <w:i/>
          <w:iCs/>
          <w:sz w:val="20"/>
          <w:szCs w:val="20"/>
        </w:rPr>
        <w:t xml:space="preserve"> </w:t>
      </w:r>
      <w:r w:rsidRPr="000B0A7F">
        <w:rPr>
          <w:rFonts w:cs="Times-Roman"/>
          <w:sz w:val="20"/>
          <w:szCs w:val="20"/>
        </w:rPr>
        <w:t>Council, 2003).</w:t>
      </w:r>
    </w:p>
  </w:footnote>
  <w:footnote w:id="10">
    <w:p w14:paraId="79C2A6EC" w14:textId="77777777" w:rsidR="005A2C26" w:rsidRPr="000B0A7F" w:rsidRDefault="005A2C26" w:rsidP="005A2C26">
      <w:pPr>
        <w:pStyle w:val="FootnoteText"/>
        <w:spacing w:after="80" w:line="240" w:lineRule="auto"/>
      </w:pPr>
      <w:r w:rsidRPr="000B0A7F">
        <w:rPr>
          <w:rStyle w:val="FootnoteReference"/>
        </w:rPr>
        <w:footnoteRef/>
      </w:r>
      <w:r w:rsidRPr="000B0A7F">
        <w:t xml:space="preserve"> </w:t>
      </w:r>
      <w:r w:rsidRPr="000B0A7F">
        <w:rPr>
          <w:rFonts w:cs="Times-Roman"/>
        </w:rPr>
        <w:t xml:space="preserve">World Health Organization, </w:t>
      </w:r>
      <w:r w:rsidRPr="000B0A7F">
        <w:rPr>
          <w:rFonts w:cs="Times-Italic"/>
          <w:i/>
          <w:iCs/>
        </w:rPr>
        <w:t>Elder maltreatment</w:t>
      </w:r>
      <w:r w:rsidRPr="000B0A7F">
        <w:rPr>
          <w:rFonts w:cs="Times-Roman"/>
        </w:rPr>
        <w:t xml:space="preserve"> (WHO, 2011).</w:t>
      </w:r>
    </w:p>
  </w:footnote>
  <w:footnote w:id="11">
    <w:p w14:paraId="3B8A9B74" w14:textId="77777777" w:rsidR="005A2C26" w:rsidRPr="000B0A7F" w:rsidRDefault="005A2C26" w:rsidP="005A2C26">
      <w:pPr>
        <w:autoSpaceDE w:val="0"/>
        <w:autoSpaceDN w:val="0"/>
        <w:adjustRightInd w:val="0"/>
        <w:spacing w:after="80" w:line="240" w:lineRule="auto"/>
        <w:rPr>
          <w:rFonts w:cs="Times New Roman"/>
          <w:i/>
          <w:iCs/>
          <w:color w:val="000000"/>
          <w:sz w:val="20"/>
          <w:szCs w:val="20"/>
        </w:rPr>
      </w:pPr>
      <w:r w:rsidRPr="000B0A7F">
        <w:rPr>
          <w:rStyle w:val="FootnoteReference"/>
          <w:sz w:val="20"/>
          <w:szCs w:val="20"/>
        </w:rPr>
        <w:footnoteRef/>
      </w:r>
      <w:r w:rsidRPr="000B0A7F">
        <w:rPr>
          <w:sz w:val="20"/>
          <w:szCs w:val="20"/>
        </w:rPr>
        <w:t xml:space="preserve"> </w:t>
      </w:r>
      <w:r w:rsidRPr="000B0A7F">
        <w:rPr>
          <w:rFonts w:cs="Times-Roman"/>
          <w:sz w:val="20"/>
          <w:szCs w:val="20"/>
        </w:rPr>
        <w:t xml:space="preserve">Linda  K. George and  Kenneth  F. Ferraro (Eds.)  </w:t>
      </w:r>
      <w:r w:rsidRPr="000B0A7F">
        <w:rPr>
          <w:rFonts w:cs="Times-Italic"/>
          <w:i/>
          <w:iCs/>
          <w:sz w:val="20"/>
          <w:szCs w:val="20"/>
        </w:rPr>
        <w:t xml:space="preserve">Handbook of aging and the social sciences </w:t>
      </w:r>
      <w:r w:rsidRPr="000B0A7F">
        <w:rPr>
          <w:rFonts w:cs="Times-Roman"/>
          <w:sz w:val="20"/>
          <w:szCs w:val="20"/>
        </w:rPr>
        <w:t xml:space="preserve"> (2016) ( New York, NY: Elsevier/Academic, 8</w:t>
      </w:r>
      <w:r w:rsidRPr="000B0A7F">
        <w:rPr>
          <w:rFonts w:cs="Times-Roman"/>
          <w:sz w:val="20"/>
          <w:szCs w:val="20"/>
          <w:vertAlign w:val="superscript"/>
        </w:rPr>
        <w:t>th</w:t>
      </w:r>
      <w:r w:rsidRPr="000B0A7F">
        <w:rPr>
          <w:rFonts w:cs="Times-Roman"/>
          <w:sz w:val="20"/>
          <w:szCs w:val="20"/>
        </w:rPr>
        <w:t xml:space="preserve"> Ed.) Karen A. Roberto, Abusive relationships in late life, 337.</w:t>
      </w:r>
    </w:p>
  </w:footnote>
  <w:footnote w:id="12">
    <w:p w14:paraId="4F7A8463" w14:textId="77777777" w:rsidR="005A2C26" w:rsidRPr="0025694A" w:rsidRDefault="005A2C26" w:rsidP="005A2C26">
      <w:pPr>
        <w:pStyle w:val="FootnoteText"/>
        <w:spacing w:after="80" w:line="240" w:lineRule="auto"/>
        <w:rPr>
          <w:lang w:val="en-US"/>
        </w:rPr>
      </w:pPr>
      <w:r>
        <w:rPr>
          <w:rStyle w:val="FootnoteReference"/>
        </w:rPr>
        <w:footnoteRef/>
      </w:r>
      <w:r>
        <w:t xml:space="preserve"> A</w:t>
      </w:r>
      <w:r w:rsidRPr="0025694A">
        <w:t xml:space="preserve"> distinction </w:t>
      </w:r>
      <w:r>
        <w:t xml:space="preserve">is sometimes drawn </w:t>
      </w:r>
      <w:r w:rsidRPr="0025694A">
        <w:t>between mistreatment (such as verbal abuse, passive and active neglect, financial exploitation and overmedication) and abuse (including</w:t>
      </w:r>
      <w:r>
        <w:t xml:space="preserve"> </w:t>
      </w:r>
      <w:r w:rsidRPr="0025694A">
        <w:t>physical,</w:t>
      </w:r>
      <w:r>
        <w:t xml:space="preserve"> </w:t>
      </w:r>
      <w:r w:rsidRPr="0025694A">
        <w:t>psychological</w:t>
      </w:r>
      <w:r>
        <w:t xml:space="preserve"> </w:t>
      </w:r>
      <w:r w:rsidRPr="0025694A">
        <w:t>and</w:t>
      </w:r>
      <w:r>
        <w:t xml:space="preserve"> </w:t>
      </w:r>
      <w:r w:rsidRPr="0025694A">
        <w:t>sexual violence, and theft)</w:t>
      </w:r>
      <w:r>
        <w:t xml:space="preserve">.  </w:t>
      </w:r>
    </w:p>
  </w:footnote>
  <w:footnote w:id="13">
    <w:p w14:paraId="65B79491" w14:textId="0118910E" w:rsidR="005A2C26" w:rsidRPr="000B0A7F" w:rsidRDefault="005A2C26" w:rsidP="007F3D03">
      <w:pPr>
        <w:autoSpaceDE w:val="0"/>
        <w:autoSpaceDN w:val="0"/>
        <w:adjustRightInd w:val="0"/>
        <w:spacing w:after="80" w:line="240" w:lineRule="auto"/>
      </w:pPr>
      <w:r w:rsidRPr="000B0A7F">
        <w:rPr>
          <w:rStyle w:val="FootnoteReference"/>
          <w:sz w:val="20"/>
          <w:szCs w:val="20"/>
        </w:rPr>
        <w:footnoteRef/>
      </w:r>
      <w:r w:rsidRPr="000B0A7F">
        <w:rPr>
          <w:sz w:val="20"/>
          <w:szCs w:val="20"/>
        </w:rPr>
        <w:t xml:space="preserve"> </w:t>
      </w:r>
      <w:r w:rsidRPr="000B0A7F">
        <w:rPr>
          <w:rFonts w:cs="Times-Roman"/>
          <w:sz w:val="20"/>
          <w:szCs w:val="20"/>
        </w:rPr>
        <w:t xml:space="preserve">Karen A. Roberto, The Complexities of Elder Abuse (2016) 71 </w:t>
      </w:r>
      <w:r w:rsidRPr="000B0A7F">
        <w:rPr>
          <w:rFonts w:cs="Times-Roman"/>
          <w:i/>
          <w:sz w:val="20"/>
          <w:szCs w:val="20"/>
        </w:rPr>
        <w:t xml:space="preserve">American </w:t>
      </w:r>
      <w:r w:rsidRPr="00E006FC">
        <w:rPr>
          <w:rFonts w:cs="Times-Roman"/>
          <w:i/>
          <w:sz w:val="20"/>
          <w:szCs w:val="20"/>
        </w:rPr>
        <w:t>Psychologist</w:t>
      </w:r>
      <w:r w:rsidRPr="00E006FC">
        <w:rPr>
          <w:rFonts w:cs="Times-Roman"/>
          <w:sz w:val="20"/>
          <w:szCs w:val="20"/>
        </w:rPr>
        <w:t xml:space="preserve"> 302, 303.</w:t>
      </w:r>
    </w:p>
  </w:footnote>
  <w:footnote w:id="14">
    <w:p w14:paraId="4ECB78A9" w14:textId="77777777" w:rsidR="005A2C26" w:rsidRPr="00C1073D" w:rsidRDefault="005A2C26" w:rsidP="005A2C26">
      <w:pPr>
        <w:pStyle w:val="FootnoteText"/>
        <w:spacing w:after="80" w:line="240" w:lineRule="auto"/>
      </w:pPr>
      <w:r w:rsidRPr="00C1073D">
        <w:rPr>
          <w:rStyle w:val="FootnoteReference"/>
        </w:rPr>
        <w:footnoteRef/>
      </w:r>
      <w:r w:rsidRPr="00C1073D">
        <w:t xml:space="preserve"> Rae </w:t>
      </w:r>
      <w:proofErr w:type="spellStart"/>
      <w:r w:rsidRPr="00C1073D">
        <w:t>Kaspiew</w:t>
      </w:r>
      <w:proofErr w:type="spellEnd"/>
      <w:r w:rsidRPr="00C1073D">
        <w:t>, ‘Elder Abuse’ (Australian Institute of Family Studies, 2016) 5.</w:t>
      </w:r>
    </w:p>
  </w:footnote>
  <w:footnote w:id="15">
    <w:p w14:paraId="6EE0BA24" w14:textId="77777777" w:rsidR="005A2C26" w:rsidRPr="007F1EF4" w:rsidRDefault="005A2C26" w:rsidP="005A2C26">
      <w:pPr>
        <w:pStyle w:val="FootnoteText"/>
        <w:spacing w:after="80" w:line="240" w:lineRule="auto"/>
        <w:rPr>
          <w:lang w:val="en-US"/>
        </w:rPr>
      </w:pPr>
      <w:r>
        <w:rPr>
          <w:rStyle w:val="FootnoteReference"/>
        </w:rPr>
        <w:footnoteRef/>
      </w:r>
      <w:r>
        <w:t xml:space="preserve"> As of July 1, 2017, Australians must be aged 65.5 to receive and aged pension. This will increase in increments until the qualifying age will be 70. </w:t>
      </w:r>
    </w:p>
  </w:footnote>
  <w:footnote w:id="16">
    <w:p w14:paraId="3E51F39C" w14:textId="77777777" w:rsidR="005A2C26" w:rsidRPr="00C1073D" w:rsidRDefault="005A2C26" w:rsidP="005A2C26">
      <w:pPr>
        <w:spacing w:after="80" w:line="240" w:lineRule="auto"/>
        <w:rPr>
          <w:sz w:val="20"/>
          <w:szCs w:val="20"/>
          <w:lang w:val="en-US"/>
        </w:rPr>
      </w:pPr>
      <w:r w:rsidRPr="00C1073D">
        <w:rPr>
          <w:rStyle w:val="FootnoteReference"/>
          <w:sz w:val="20"/>
          <w:szCs w:val="20"/>
        </w:rPr>
        <w:footnoteRef/>
      </w:r>
      <w:r w:rsidRPr="00C1073D">
        <w:rPr>
          <w:sz w:val="20"/>
          <w:szCs w:val="20"/>
        </w:rPr>
        <w:t xml:space="preserve"> Eva </w:t>
      </w:r>
      <w:proofErr w:type="spellStart"/>
      <w:r w:rsidRPr="00C1073D">
        <w:rPr>
          <w:sz w:val="20"/>
          <w:szCs w:val="20"/>
        </w:rPr>
        <w:t>Cotterell</w:t>
      </w:r>
      <w:proofErr w:type="spellEnd"/>
      <w:r w:rsidRPr="00C1073D">
        <w:rPr>
          <w:sz w:val="20"/>
          <w:szCs w:val="20"/>
        </w:rPr>
        <w:t xml:space="preserve"> </w:t>
      </w:r>
      <w:r>
        <w:rPr>
          <w:sz w:val="20"/>
          <w:szCs w:val="20"/>
        </w:rPr>
        <w:t>, et al, Elder Abuse in the A</w:t>
      </w:r>
      <w:r w:rsidRPr="00C1073D">
        <w:rPr>
          <w:sz w:val="20"/>
          <w:szCs w:val="20"/>
        </w:rPr>
        <w:t>ct</w:t>
      </w:r>
      <w:r>
        <w:rPr>
          <w:sz w:val="20"/>
          <w:szCs w:val="20"/>
        </w:rPr>
        <w:t>: A literature review, COTA (Council On T</w:t>
      </w:r>
      <w:r w:rsidRPr="00C1073D">
        <w:rPr>
          <w:sz w:val="20"/>
          <w:szCs w:val="20"/>
        </w:rPr>
        <w:t xml:space="preserve">he </w:t>
      </w:r>
      <w:r>
        <w:rPr>
          <w:sz w:val="20"/>
          <w:szCs w:val="20"/>
        </w:rPr>
        <w:t xml:space="preserve">Ageing) ACT June 2015, </w:t>
      </w:r>
      <w:r w:rsidRPr="007368C6">
        <w:rPr>
          <w:sz w:val="20"/>
          <w:szCs w:val="20"/>
        </w:rPr>
        <w:t>http://docplayer.net/16904292-Elder-abuse-in-the-act-a-literature-review.html</w:t>
      </w:r>
      <w:r>
        <w:rPr>
          <w:sz w:val="20"/>
          <w:szCs w:val="20"/>
        </w:rPr>
        <w:t xml:space="preserve">. </w:t>
      </w:r>
    </w:p>
  </w:footnote>
  <w:footnote w:id="17">
    <w:p w14:paraId="68FB7D50" w14:textId="77777777" w:rsidR="005A2C26" w:rsidRPr="00B34180" w:rsidRDefault="005A2C26" w:rsidP="005A2C26">
      <w:pPr>
        <w:pStyle w:val="FootnoteText"/>
        <w:spacing w:after="80" w:line="240" w:lineRule="auto"/>
        <w:rPr>
          <w:lang w:val="en-US"/>
        </w:rPr>
      </w:pPr>
      <w:r>
        <w:rPr>
          <w:rStyle w:val="FootnoteReference"/>
        </w:rPr>
        <w:footnoteRef/>
      </w:r>
      <w:r>
        <w:t xml:space="preserve"> Jo </w:t>
      </w:r>
      <w:proofErr w:type="spellStart"/>
      <w:r>
        <w:t>Wainer</w:t>
      </w:r>
      <w:proofErr w:type="spellEnd"/>
      <w:r>
        <w:t xml:space="preserve">, J., et al, </w:t>
      </w:r>
      <w:r>
        <w:rPr>
          <w:rStyle w:val="Emphasis"/>
        </w:rPr>
        <w:t>Diversity and financial elder abuse in Victoria: Protecting Elders' Assets Study</w:t>
      </w:r>
      <w:r>
        <w:t>. Melbourne: Faculty of Medicine, Nursing and Health Sciences, Monash University, 2011.</w:t>
      </w:r>
    </w:p>
  </w:footnote>
  <w:footnote w:id="18">
    <w:p w14:paraId="13035782" w14:textId="77777777" w:rsidR="005A2C26" w:rsidRPr="00C1073D" w:rsidRDefault="005A2C26" w:rsidP="005A2C26">
      <w:pPr>
        <w:pStyle w:val="FootnoteText"/>
        <w:spacing w:after="80" w:line="240" w:lineRule="auto"/>
        <w:rPr>
          <w:lang w:val="en-US"/>
        </w:rPr>
      </w:pPr>
      <w:r w:rsidRPr="00C1073D">
        <w:rPr>
          <w:rStyle w:val="FootnoteReference"/>
        </w:rPr>
        <w:footnoteRef/>
      </w:r>
      <w:r w:rsidRPr="00C1073D">
        <w:t xml:space="preserve"> Eva </w:t>
      </w:r>
      <w:proofErr w:type="spellStart"/>
      <w:r w:rsidRPr="00C1073D">
        <w:t>Cotterell</w:t>
      </w:r>
      <w:proofErr w:type="spellEnd"/>
      <w:r w:rsidRPr="00C1073D">
        <w:t xml:space="preserve"> </w:t>
      </w:r>
      <w:r>
        <w:t>, et al, Elder Abuse in the A</w:t>
      </w:r>
      <w:r w:rsidRPr="00C1073D">
        <w:t>ct</w:t>
      </w:r>
      <w:r>
        <w:t>: A literature review, COTA (Council On T</w:t>
      </w:r>
      <w:r w:rsidRPr="00C1073D">
        <w:t xml:space="preserve">he </w:t>
      </w:r>
      <w:r>
        <w:t xml:space="preserve">Ageing) ACT June 2015, </w:t>
      </w:r>
      <w:r w:rsidRPr="007368C6">
        <w:t>http://docplayer.net/16904292-Elder-abuse-in-the-act-a-literature-review.html</w:t>
      </w:r>
    </w:p>
  </w:footnote>
  <w:footnote w:id="19">
    <w:p w14:paraId="0240C9DB" w14:textId="72B221F4" w:rsidR="005A2C26" w:rsidRPr="00C1073D" w:rsidRDefault="005A2C26" w:rsidP="005A2C26">
      <w:pPr>
        <w:spacing w:after="80" w:line="240" w:lineRule="auto"/>
        <w:rPr>
          <w:rFonts w:eastAsia="Times New Roman" w:cs="Times New Roman"/>
          <w:sz w:val="20"/>
          <w:szCs w:val="20"/>
          <w:lang w:eastAsia="en-AU"/>
        </w:rPr>
      </w:pPr>
      <w:r w:rsidRPr="00C1073D">
        <w:rPr>
          <w:rStyle w:val="FootnoteReference"/>
          <w:sz w:val="20"/>
          <w:szCs w:val="20"/>
        </w:rPr>
        <w:footnoteRef/>
      </w:r>
      <w:r>
        <w:rPr>
          <w:sz w:val="20"/>
          <w:szCs w:val="20"/>
        </w:rPr>
        <w:t xml:space="preserve"> </w:t>
      </w:r>
      <w:r w:rsidRPr="00C1073D">
        <w:rPr>
          <w:sz w:val="20"/>
          <w:szCs w:val="20"/>
        </w:rPr>
        <w:t xml:space="preserve">Mike </w:t>
      </w:r>
      <w:r w:rsidRPr="00C1073D">
        <w:rPr>
          <w:rFonts w:eastAsia="Times New Roman" w:cs="Times New Roman"/>
          <w:sz w:val="20"/>
          <w:szCs w:val="20"/>
          <w:lang w:eastAsia="en-AU"/>
        </w:rPr>
        <w:t xml:space="preserve">Clare, Barbara Blundell and Joseph Clare. ‘Examination of the extent of elder abuse in Western Australia: A qualitative and quantitative investigation of existing agency policy, service responses and recorded data.’ </w:t>
      </w:r>
      <w:r w:rsidRPr="00C1073D">
        <w:rPr>
          <w:rFonts w:eastAsia="Times New Roman" w:cs="Times New Roman"/>
          <w:i/>
          <w:iCs/>
          <w:sz w:val="20"/>
          <w:szCs w:val="20"/>
          <w:lang w:eastAsia="en-AU"/>
        </w:rPr>
        <w:t>Service Responses and Recorded Data. (Crime Research Centre, The University of Western Australia, April 2011)</w:t>
      </w:r>
      <w:r w:rsidRPr="00C1073D">
        <w:rPr>
          <w:rFonts w:eastAsia="Times New Roman" w:cs="Times New Roman"/>
          <w:sz w:val="20"/>
          <w:szCs w:val="20"/>
          <w:lang w:eastAsia="en-AU"/>
        </w:rPr>
        <w:t xml:space="preserve"> 40.</w:t>
      </w:r>
    </w:p>
  </w:footnote>
  <w:footnote w:id="20">
    <w:p w14:paraId="0A8C8FCF" w14:textId="77777777" w:rsidR="005A2C26" w:rsidRDefault="005A2C26" w:rsidP="005A2C26">
      <w:pPr>
        <w:pStyle w:val="FootnoteText"/>
        <w:spacing w:after="80" w:line="240" w:lineRule="auto"/>
      </w:pPr>
      <w:r>
        <w:rPr>
          <w:rStyle w:val="FootnoteReference"/>
        </w:rPr>
        <w:footnoteRef/>
      </w:r>
      <w:r>
        <w:t xml:space="preserve"> </w:t>
      </w:r>
      <w:r w:rsidRPr="00296BAC">
        <w:t>http://www.who.int/ageing/projects/elder_abuse/en/</w:t>
      </w:r>
    </w:p>
  </w:footnote>
  <w:footnote w:id="21">
    <w:p w14:paraId="4D75A2FC" w14:textId="77777777" w:rsidR="005A2C26" w:rsidRDefault="005A2C26" w:rsidP="005A2C26">
      <w:pPr>
        <w:pStyle w:val="FootnoteText"/>
        <w:spacing w:after="80" w:line="240" w:lineRule="auto"/>
      </w:pPr>
      <w:r>
        <w:rPr>
          <w:rStyle w:val="FootnoteReference"/>
        </w:rPr>
        <w:footnoteRef/>
      </w:r>
      <w:r>
        <w:t xml:space="preserve"> </w:t>
      </w:r>
      <w:r w:rsidRPr="00833444">
        <w:t>http://www.eapu.com.au/elder-abuse</w:t>
      </w:r>
    </w:p>
  </w:footnote>
  <w:footnote w:id="22">
    <w:p w14:paraId="34FA8384" w14:textId="77777777" w:rsidR="005A2C26" w:rsidRDefault="005A2C26" w:rsidP="005A2C26">
      <w:pPr>
        <w:pStyle w:val="FootnoteText"/>
        <w:spacing w:after="80" w:line="240" w:lineRule="auto"/>
      </w:pPr>
      <w:r>
        <w:rPr>
          <w:rStyle w:val="FootnoteReference"/>
        </w:rPr>
        <w:footnoteRef/>
      </w:r>
      <w:r>
        <w:t xml:space="preserve"> </w:t>
      </w:r>
      <w:r w:rsidRPr="00AD07D9">
        <w:t>http://www.advocacytasmania.org.au/elderabusehelpline.htm</w:t>
      </w:r>
    </w:p>
  </w:footnote>
  <w:footnote w:id="23">
    <w:p w14:paraId="1999A3CE" w14:textId="5931A1A7" w:rsidR="00FD6B4C" w:rsidRDefault="00FD6B4C">
      <w:pPr>
        <w:pStyle w:val="FootnoteText"/>
      </w:pPr>
      <w:r>
        <w:rPr>
          <w:rStyle w:val="FootnoteReference"/>
        </w:rPr>
        <w:footnoteRef/>
      </w:r>
      <w:r>
        <w:t xml:space="preserve"> </w:t>
      </w:r>
      <w:r w:rsidRPr="00FD6B4C">
        <w:t>http://www.dhhs.tas.gov.au/__data/assets/pdf_file/0010/76672/Protecting_Older_Tasmanians_from_Abuse.pdf</w:t>
      </w:r>
    </w:p>
  </w:footnote>
  <w:footnote w:id="24">
    <w:p w14:paraId="154281B5" w14:textId="77777777" w:rsidR="005A2C26" w:rsidRDefault="005A2C26" w:rsidP="005A2C26">
      <w:pPr>
        <w:pStyle w:val="FootnoteText"/>
        <w:spacing w:after="80" w:line="240" w:lineRule="auto"/>
      </w:pPr>
      <w:r>
        <w:rPr>
          <w:rStyle w:val="FootnoteReference"/>
        </w:rPr>
        <w:footnoteRef/>
      </w:r>
      <w:r>
        <w:t xml:space="preserve"> Rae </w:t>
      </w:r>
      <w:proofErr w:type="spellStart"/>
      <w:r>
        <w:t>Kaspiew</w:t>
      </w:r>
      <w:proofErr w:type="spellEnd"/>
      <w:r>
        <w:t>, ‘Elder Abuse’ (Australian Institute of Family Studies, 2016) 21</w:t>
      </w:r>
    </w:p>
  </w:footnote>
  <w:footnote w:id="25">
    <w:p w14:paraId="3376B7A6" w14:textId="48F67A76" w:rsidR="005A2C26" w:rsidRPr="00E55F08" w:rsidRDefault="005A2C26" w:rsidP="005A2C26">
      <w:pPr>
        <w:pStyle w:val="FootnoteText"/>
        <w:spacing w:after="80" w:line="240" w:lineRule="auto"/>
      </w:pPr>
      <w:r w:rsidRPr="00E55F08">
        <w:rPr>
          <w:rStyle w:val="FootnoteReference"/>
        </w:rPr>
        <w:footnoteRef/>
      </w:r>
      <w:r w:rsidRPr="00E55F08">
        <w:t xml:space="preserve"> Quoted f</w:t>
      </w:r>
      <w:r>
        <w:t>r</w:t>
      </w:r>
      <w:r w:rsidRPr="00E55F08">
        <w:t>om the AIFS website:</w:t>
      </w:r>
      <w:r w:rsidRPr="005A2C26">
        <w:rPr>
          <w:rFonts w:eastAsia="Times New Roman" w:cs="Times New Roman"/>
          <w:lang w:eastAsia="en-AU"/>
        </w:rPr>
        <w:t xml:space="preserve"> </w:t>
      </w:r>
      <w:hyperlink r:id="rId1" w:history="1">
        <w:r w:rsidRPr="005A2C26">
          <w:rPr>
            <w:rStyle w:val="Hyperlink"/>
            <w:rFonts w:eastAsia="Times New Roman" w:cs="Times New Roman"/>
            <w:lang w:eastAsia="en-AU"/>
          </w:rPr>
          <w:t>https://aifs.gov.au/publications/elder-abuse</w:t>
        </w:r>
      </w:hyperlink>
      <w:r w:rsidRPr="005A2C26">
        <w:rPr>
          <w:rFonts w:eastAsia="Times New Roman" w:cs="Times New Roman"/>
          <w:lang w:eastAsia="en-AU"/>
        </w:rPr>
        <w:t xml:space="preserve"> last viewed 11th July 2017.</w:t>
      </w:r>
    </w:p>
  </w:footnote>
  <w:footnote w:id="26">
    <w:p w14:paraId="6C702C4D" w14:textId="77777777" w:rsidR="005A2C26" w:rsidRPr="005A2C26" w:rsidRDefault="005A2C26" w:rsidP="005A2C26">
      <w:pPr>
        <w:pStyle w:val="FootnoteText"/>
        <w:spacing w:after="40" w:line="240" w:lineRule="auto"/>
        <w:rPr>
          <w:rFonts w:cs="Times New Roman"/>
        </w:rPr>
      </w:pPr>
      <w:r w:rsidRPr="00177B0C">
        <w:rPr>
          <w:rStyle w:val="FootnoteReference"/>
          <w:rFonts w:cs="Times New Roman"/>
        </w:rPr>
        <w:footnoteRef/>
      </w:r>
      <w:r w:rsidRPr="00177B0C">
        <w:rPr>
          <w:rFonts w:cs="Times New Roman"/>
        </w:rPr>
        <w:t xml:space="preserve"> Wendy Lac</w:t>
      </w:r>
      <w:r w:rsidRPr="005A2C26">
        <w:rPr>
          <w:rFonts w:cs="Times New Roman"/>
        </w:rPr>
        <w:t xml:space="preserve">ey, ‘Neglectful to the Point of cruelty? Elder abuse and the rights of older persons in Australia’, (2014) 34 </w:t>
      </w:r>
      <w:r w:rsidRPr="005A2C26">
        <w:rPr>
          <w:rFonts w:cs="Times New Roman"/>
          <w:i/>
        </w:rPr>
        <w:t>Sydney Law Review</w:t>
      </w:r>
      <w:r w:rsidRPr="005A2C26">
        <w:rPr>
          <w:rFonts w:cs="Times New Roman"/>
        </w:rPr>
        <w:t xml:space="preserve"> 99.</w:t>
      </w:r>
    </w:p>
  </w:footnote>
  <w:footnote w:id="27">
    <w:p w14:paraId="26606D60" w14:textId="49D870E6" w:rsidR="005A2C26" w:rsidRPr="00177B0C" w:rsidRDefault="005A2C26" w:rsidP="005A2C26">
      <w:pPr>
        <w:pStyle w:val="FootnoteText"/>
        <w:spacing w:after="40" w:line="240" w:lineRule="auto"/>
        <w:rPr>
          <w:rFonts w:cs="Times New Roman"/>
        </w:rPr>
      </w:pPr>
      <w:r w:rsidRPr="00177B0C">
        <w:rPr>
          <w:rStyle w:val="FootnoteReference"/>
          <w:rFonts w:cs="Times New Roman"/>
        </w:rPr>
        <w:footnoteRef/>
      </w:r>
      <w:r w:rsidRPr="00177B0C">
        <w:rPr>
          <w:rFonts w:cs="Times New Roman"/>
        </w:rPr>
        <w:t xml:space="preserve"> </w:t>
      </w:r>
      <w:r>
        <w:rPr>
          <w:rFonts w:cs="Times New Roman"/>
        </w:rPr>
        <w:t>Ibid.</w:t>
      </w:r>
    </w:p>
  </w:footnote>
  <w:footnote w:id="28">
    <w:p w14:paraId="5C50C8D3" w14:textId="77777777" w:rsidR="005A2C26" w:rsidRPr="005A2C26" w:rsidRDefault="005A2C26" w:rsidP="005A2C26">
      <w:pPr>
        <w:spacing w:after="40" w:line="240" w:lineRule="auto"/>
        <w:rPr>
          <w:rFonts w:eastAsia="Times New Roman" w:cs="Times New Roman"/>
          <w:sz w:val="20"/>
          <w:szCs w:val="20"/>
          <w:lang w:eastAsia="en-AU"/>
        </w:rPr>
      </w:pPr>
      <w:r w:rsidRPr="005A2C26">
        <w:rPr>
          <w:rStyle w:val="FootnoteReference"/>
          <w:rFonts w:cs="Times New Roman"/>
          <w:sz w:val="20"/>
          <w:szCs w:val="20"/>
        </w:rPr>
        <w:footnoteRef/>
      </w:r>
      <w:r w:rsidRPr="005A2C26">
        <w:rPr>
          <w:rFonts w:cs="Times New Roman"/>
          <w:sz w:val="20"/>
          <w:szCs w:val="20"/>
        </w:rPr>
        <w:t xml:space="preserve"> Victoria </w:t>
      </w:r>
      <w:r w:rsidRPr="005A2C26">
        <w:rPr>
          <w:rFonts w:eastAsia="Times New Roman" w:cs="Times New Roman"/>
          <w:sz w:val="20"/>
          <w:szCs w:val="20"/>
          <w:lang w:eastAsia="en-AU"/>
        </w:rPr>
        <w:t xml:space="preserve">Rizzo, David Burnes, and Amy </w:t>
      </w:r>
      <w:proofErr w:type="spellStart"/>
      <w:r w:rsidRPr="005A2C26">
        <w:rPr>
          <w:rFonts w:eastAsia="Times New Roman" w:cs="Times New Roman"/>
          <w:sz w:val="20"/>
          <w:szCs w:val="20"/>
          <w:lang w:eastAsia="en-AU"/>
        </w:rPr>
        <w:t>Chalfy</w:t>
      </w:r>
      <w:proofErr w:type="spellEnd"/>
      <w:r w:rsidRPr="005A2C26">
        <w:rPr>
          <w:rFonts w:eastAsia="Times New Roman" w:cs="Times New Roman"/>
          <w:sz w:val="20"/>
          <w:szCs w:val="20"/>
          <w:lang w:eastAsia="en-AU"/>
        </w:rPr>
        <w:t xml:space="preserve">, ‘A systematic evaluation of a multidisciplinary social work–lawyer elder mistreatment intervention model’, (2015) 27 </w:t>
      </w:r>
      <w:r w:rsidRPr="005A2C26">
        <w:rPr>
          <w:rFonts w:eastAsia="Times New Roman" w:cs="Times New Roman"/>
          <w:i/>
          <w:iCs/>
          <w:sz w:val="20"/>
          <w:szCs w:val="20"/>
          <w:lang w:eastAsia="en-AU"/>
        </w:rPr>
        <w:t>Journal of elder abuse &amp; neglect</w:t>
      </w:r>
      <w:r w:rsidRPr="005A2C26">
        <w:rPr>
          <w:rFonts w:eastAsia="Times New Roman" w:cs="Times New Roman"/>
          <w:sz w:val="20"/>
          <w:szCs w:val="20"/>
          <w:lang w:eastAsia="en-AU"/>
        </w:rPr>
        <w:t xml:space="preserve"> 1.  </w:t>
      </w:r>
    </w:p>
  </w:footnote>
  <w:footnote w:id="29">
    <w:p w14:paraId="22353566" w14:textId="61E615EE" w:rsidR="005A2C26" w:rsidRPr="00177B0C" w:rsidRDefault="005A2C26" w:rsidP="005A2C26">
      <w:pPr>
        <w:pStyle w:val="FootnoteText"/>
        <w:spacing w:after="40" w:line="240" w:lineRule="auto"/>
        <w:rPr>
          <w:rFonts w:cs="Times New Roman"/>
        </w:rPr>
      </w:pPr>
      <w:r w:rsidRPr="00177B0C">
        <w:rPr>
          <w:rStyle w:val="FootnoteReference"/>
          <w:rFonts w:cs="Times New Roman"/>
        </w:rPr>
        <w:footnoteRef/>
      </w:r>
      <w:r w:rsidRPr="00177B0C">
        <w:rPr>
          <w:rFonts w:cs="Times New Roman"/>
        </w:rPr>
        <w:t xml:space="preserve"> Lacey</w:t>
      </w:r>
      <w:r>
        <w:rPr>
          <w:rFonts w:cs="Times New Roman"/>
        </w:rPr>
        <w:t>, op. cit.</w:t>
      </w:r>
    </w:p>
  </w:footnote>
  <w:footnote w:id="30">
    <w:p w14:paraId="6E4E4F5C" w14:textId="77777777" w:rsidR="005A2C26" w:rsidRPr="005A2C26" w:rsidRDefault="005A2C26" w:rsidP="005A2C26">
      <w:pPr>
        <w:pStyle w:val="FootnoteText"/>
        <w:spacing w:after="40" w:line="240" w:lineRule="auto"/>
        <w:rPr>
          <w:rFonts w:cs="Times New Roman"/>
        </w:rPr>
      </w:pPr>
      <w:r w:rsidRPr="00177B0C">
        <w:rPr>
          <w:rStyle w:val="FootnoteReference"/>
          <w:rFonts w:cs="Times New Roman"/>
        </w:rPr>
        <w:footnoteRef/>
      </w:r>
      <w:r w:rsidRPr="00177B0C">
        <w:rPr>
          <w:rFonts w:cs="Times New Roman"/>
        </w:rPr>
        <w:t xml:space="preserve"> Ibid.</w:t>
      </w:r>
    </w:p>
  </w:footnote>
  <w:footnote w:id="31">
    <w:p w14:paraId="4D477D4C" w14:textId="77777777" w:rsidR="005A2C26" w:rsidRPr="005A2C26" w:rsidRDefault="005A2C26" w:rsidP="005A2C26">
      <w:pPr>
        <w:pStyle w:val="FootnoteText"/>
        <w:spacing w:after="40" w:line="240" w:lineRule="auto"/>
        <w:rPr>
          <w:rFonts w:cs="Times New Roman"/>
        </w:rPr>
      </w:pPr>
      <w:r w:rsidRPr="00177B0C">
        <w:rPr>
          <w:rStyle w:val="FootnoteReference"/>
          <w:rFonts w:cs="Times New Roman"/>
        </w:rPr>
        <w:footnoteRef/>
      </w:r>
      <w:r w:rsidRPr="00177B0C">
        <w:rPr>
          <w:rFonts w:cs="Times New Roman"/>
        </w:rPr>
        <w:t xml:space="preserve"> Ibid.</w:t>
      </w:r>
    </w:p>
  </w:footnote>
  <w:footnote w:id="32">
    <w:p w14:paraId="4A9EB6A2" w14:textId="77777777" w:rsidR="005A2C26" w:rsidRPr="005A2C26" w:rsidRDefault="005A2C26" w:rsidP="005A2C26">
      <w:pPr>
        <w:pStyle w:val="FootnoteText"/>
        <w:spacing w:after="40" w:line="240" w:lineRule="auto"/>
        <w:rPr>
          <w:rFonts w:cs="Times New Roman"/>
        </w:rPr>
      </w:pPr>
      <w:r w:rsidRPr="00177B0C">
        <w:rPr>
          <w:rStyle w:val="FootnoteReference"/>
          <w:rFonts w:cs="Times New Roman"/>
        </w:rPr>
        <w:footnoteRef/>
      </w:r>
      <w:r w:rsidRPr="00177B0C">
        <w:rPr>
          <w:rFonts w:cs="Times New Roman"/>
        </w:rPr>
        <w:t xml:space="preserve"> Ibid.</w:t>
      </w:r>
    </w:p>
  </w:footnote>
  <w:footnote w:id="33">
    <w:p w14:paraId="45D13F84" w14:textId="77777777" w:rsidR="005A2C26" w:rsidRPr="005A2C26" w:rsidRDefault="005A2C26" w:rsidP="005A2C26">
      <w:pPr>
        <w:pStyle w:val="NormalWeb"/>
        <w:spacing w:before="0" w:beforeAutospacing="0" w:after="40" w:afterAutospacing="0" w:line="240" w:lineRule="auto"/>
        <w:rPr>
          <w:sz w:val="20"/>
          <w:szCs w:val="20"/>
        </w:rPr>
      </w:pPr>
      <w:r w:rsidRPr="005A2C26">
        <w:rPr>
          <w:rStyle w:val="FootnoteReference"/>
          <w:sz w:val="20"/>
          <w:szCs w:val="20"/>
        </w:rPr>
        <w:footnoteRef/>
      </w:r>
      <w:r w:rsidRPr="005A2C26">
        <w:rPr>
          <w:sz w:val="20"/>
          <w:szCs w:val="20"/>
        </w:rPr>
        <w:t xml:space="preserve"> Susan Ryan, Age Discrimination Commissioner, </w:t>
      </w:r>
      <w:r w:rsidRPr="005A2C26">
        <w:rPr>
          <w:bCs/>
          <w:sz w:val="20"/>
          <w:szCs w:val="20"/>
        </w:rPr>
        <w:t xml:space="preserve">Elder Abuse Forum: A Human Rights Perspective, </w:t>
      </w:r>
      <w:r w:rsidRPr="005A2C26">
        <w:rPr>
          <w:sz w:val="20"/>
          <w:szCs w:val="20"/>
        </w:rPr>
        <w:t>Auburn Town Hall, NSW, 13 October, 2015, https://www.humanrights.gov.au/news/speeches/elder-abuse-forum-human-rights-perspective</w:t>
      </w:r>
    </w:p>
  </w:footnote>
  <w:footnote w:id="34">
    <w:p w14:paraId="077E7C8E" w14:textId="77777777" w:rsidR="005A2C26" w:rsidRPr="005A2C26" w:rsidRDefault="005A2C26" w:rsidP="005A2C26">
      <w:pPr>
        <w:pStyle w:val="Default"/>
        <w:spacing w:after="40"/>
        <w:rPr>
          <w:rFonts w:ascii="Times New Roman" w:hAnsi="Times New Roman" w:cs="Times New Roman"/>
          <w:sz w:val="20"/>
          <w:szCs w:val="20"/>
        </w:rPr>
      </w:pPr>
      <w:r w:rsidRPr="005A2C26">
        <w:rPr>
          <w:rStyle w:val="FootnoteReference"/>
          <w:rFonts w:ascii="Times New Roman" w:hAnsi="Times New Roman" w:cs="Times New Roman"/>
          <w:sz w:val="20"/>
          <w:szCs w:val="20"/>
        </w:rPr>
        <w:footnoteRef/>
      </w:r>
      <w:r w:rsidRPr="005A2C26">
        <w:rPr>
          <w:rFonts w:ascii="Times New Roman" w:hAnsi="Times New Roman" w:cs="Times New Roman"/>
          <w:sz w:val="20"/>
          <w:szCs w:val="20"/>
        </w:rPr>
        <w:t xml:space="preserve"> Deborah Cairns, Miranda Davies and Pricilla Harries et al, ‘Framing the detection of elder financial abuse as bystander intervention: Decision cues, pathways to detection and barriers to action’ (2013) 15 </w:t>
      </w:r>
      <w:r w:rsidRPr="005A2C26">
        <w:rPr>
          <w:rFonts w:ascii="Times New Roman" w:hAnsi="Times New Roman" w:cs="Times New Roman"/>
          <w:i/>
          <w:sz w:val="20"/>
          <w:szCs w:val="20"/>
        </w:rPr>
        <w:t>Journal of Adult Protection</w:t>
      </w:r>
      <w:r w:rsidRPr="005A2C26">
        <w:rPr>
          <w:rFonts w:ascii="Times New Roman" w:hAnsi="Times New Roman" w:cs="Times New Roman"/>
          <w:sz w:val="20"/>
          <w:szCs w:val="20"/>
        </w:rPr>
        <w:t xml:space="preserve"> 1.  </w:t>
      </w:r>
    </w:p>
  </w:footnote>
  <w:footnote w:id="35">
    <w:p w14:paraId="1A7CFFA5" w14:textId="77777777" w:rsidR="005A2C26" w:rsidRPr="007F3D03" w:rsidRDefault="005A2C26" w:rsidP="005A2C26">
      <w:pPr>
        <w:pStyle w:val="NormalWeb"/>
        <w:spacing w:before="0" w:beforeAutospacing="0" w:after="40" w:afterAutospacing="0" w:line="240" w:lineRule="auto"/>
        <w:rPr>
          <w:sz w:val="20"/>
          <w:szCs w:val="20"/>
        </w:rPr>
      </w:pPr>
      <w:r w:rsidRPr="005A2C26">
        <w:rPr>
          <w:rStyle w:val="FootnoteReference"/>
          <w:sz w:val="20"/>
          <w:szCs w:val="20"/>
        </w:rPr>
        <w:footnoteRef/>
      </w:r>
      <w:r w:rsidRPr="007F3D03">
        <w:rPr>
          <w:sz w:val="20"/>
          <w:szCs w:val="20"/>
        </w:rPr>
        <w:t xml:space="preserve"> Susan Ryan, Age Discrimination Commissioner, </w:t>
      </w:r>
      <w:r w:rsidRPr="007F3D03">
        <w:rPr>
          <w:bCs/>
          <w:sz w:val="20"/>
          <w:szCs w:val="20"/>
        </w:rPr>
        <w:t xml:space="preserve">Elder Abuse Forum: A Human Rights Perspective, </w:t>
      </w:r>
      <w:r w:rsidRPr="007F3D03">
        <w:rPr>
          <w:sz w:val="20"/>
          <w:szCs w:val="20"/>
        </w:rPr>
        <w:t>Auburn Town Hall, NSW, 13 October, 2015, https://www.humanrights.gov.au/news/speeches/elder-abuse-forum-human-rights-perspective</w:t>
      </w:r>
    </w:p>
  </w:footnote>
  <w:footnote w:id="36">
    <w:p w14:paraId="48682F4A" w14:textId="728A798F" w:rsidR="005A2C26" w:rsidRDefault="005A2C26" w:rsidP="002073F9">
      <w:pPr>
        <w:pStyle w:val="FootnoteText"/>
        <w:rPr>
          <w:rFonts w:cstheme="minorHAnsi"/>
        </w:rPr>
      </w:pPr>
      <w:r>
        <w:rPr>
          <w:rStyle w:val="FootnoteReference"/>
          <w:rFonts w:cstheme="minorHAnsi"/>
        </w:rPr>
        <w:footnoteRef/>
      </w:r>
      <w:r>
        <w:rPr>
          <w:rFonts w:cstheme="minorHAnsi"/>
        </w:rPr>
        <w:t xml:space="preserve"> Ibid.</w:t>
      </w:r>
    </w:p>
  </w:footnote>
  <w:footnote w:id="37">
    <w:p w14:paraId="5FEAF542" w14:textId="73090A9A" w:rsidR="005A2C26" w:rsidRPr="00177B0C" w:rsidRDefault="005A2C26" w:rsidP="007F3D03">
      <w:pPr>
        <w:spacing w:after="0" w:line="240" w:lineRule="auto"/>
        <w:ind w:left="720" w:hanging="720"/>
        <w:rPr>
          <w:lang w:val="en-US"/>
        </w:rPr>
      </w:pPr>
      <w:r w:rsidRPr="00177B0C">
        <w:rPr>
          <w:rStyle w:val="FootnoteReference"/>
          <w:sz w:val="20"/>
          <w:szCs w:val="20"/>
        </w:rPr>
        <w:footnoteRef/>
      </w:r>
      <w:r w:rsidRPr="00177B0C">
        <w:rPr>
          <w:sz w:val="20"/>
          <w:szCs w:val="20"/>
        </w:rPr>
        <w:t xml:space="preserve"> </w:t>
      </w:r>
      <w:r w:rsidRPr="00177B0C">
        <w:rPr>
          <w:sz w:val="20"/>
          <w:szCs w:val="20"/>
          <w:shd w:val="clear" w:color="auto" w:fill="FFFFFF"/>
        </w:rPr>
        <w:t xml:space="preserve">Burns, J. M., Johnson, D. K., Watts, A., </w:t>
      </w:r>
      <w:proofErr w:type="spellStart"/>
      <w:r w:rsidRPr="00177B0C">
        <w:rPr>
          <w:sz w:val="20"/>
          <w:szCs w:val="20"/>
          <w:shd w:val="clear" w:color="auto" w:fill="FFFFFF"/>
        </w:rPr>
        <w:t>Swerdlow</w:t>
      </w:r>
      <w:proofErr w:type="spellEnd"/>
      <w:r w:rsidRPr="00177B0C">
        <w:rPr>
          <w:sz w:val="20"/>
          <w:szCs w:val="20"/>
          <w:shd w:val="clear" w:color="auto" w:fill="FFFFFF"/>
        </w:rPr>
        <w:t>, R. H., &amp; Brooks, W. M. (2010). Lean Mass is Reduced in Early Alzheimer’s Disease and Associated with Brain Atrophy.</w:t>
      </w:r>
      <w:r w:rsidRPr="00177B0C">
        <w:rPr>
          <w:rStyle w:val="apple-converted-space"/>
          <w:rFonts w:ascii="Arial" w:hAnsi="Arial" w:cs="Arial"/>
          <w:color w:val="303030"/>
          <w:sz w:val="20"/>
          <w:szCs w:val="20"/>
          <w:shd w:val="clear" w:color="auto" w:fill="FFFFFF"/>
        </w:rPr>
        <w:t> </w:t>
      </w:r>
      <w:r w:rsidRPr="00177B0C">
        <w:rPr>
          <w:i/>
          <w:iCs/>
          <w:sz w:val="20"/>
          <w:szCs w:val="20"/>
          <w:shd w:val="clear" w:color="auto" w:fill="FFFFFF"/>
        </w:rPr>
        <w:t>Archives of Neurology</w:t>
      </w:r>
      <w:r w:rsidRPr="00177B0C">
        <w:rPr>
          <w:sz w:val="20"/>
          <w:szCs w:val="20"/>
          <w:shd w:val="clear" w:color="auto" w:fill="FFFFFF"/>
        </w:rPr>
        <w:t>,</w:t>
      </w:r>
      <w:r w:rsidRPr="00177B0C">
        <w:rPr>
          <w:rStyle w:val="apple-converted-space"/>
          <w:rFonts w:ascii="Arial" w:hAnsi="Arial" w:cs="Arial"/>
          <w:color w:val="303030"/>
          <w:sz w:val="20"/>
          <w:szCs w:val="20"/>
          <w:shd w:val="clear" w:color="auto" w:fill="FFFFFF"/>
        </w:rPr>
        <w:t> </w:t>
      </w:r>
      <w:r w:rsidRPr="00177B0C">
        <w:rPr>
          <w:i/>
          <w:iCs/>
          <w:sz w:val="20"/>
          <w:szCs w:val="20"/>
          <w:shd w:val="clear" w:color="auto" w:fill="FFFFFF"/>
        </w:rPr>
        <w:t>67</w:t>
      </w:r>
      <w:r w:rsidRPr="00177B0C">
        <w:rPr>
          <w:sz w:val="20"/>
          <w:szCs w:val="20"/>
          <w:shd w:val="clear" w:color="auto" w:fill="FFFFFF"/>
        </w:rPr>
        <w:t>(4), 428–433</w:t>
      </w:r>
      <w:r w:rsidRPr="00177B0C">
        <w:rPr>
          <w:sz w:val="20"/>
          <w:szCs w:val="20"/>
          <w:lang w:val="en-US"/>
        </w:rPr>
        <w:t>.</w:t>
      </w:r>
    </w:p>
  </w:footnote>
  <w:footnote w:id="38">
    <w:p w14:paraId="53CFDAD6" w14:textId="77777777" w:rsidR="005A2C26" w:rsidRPr="00AB45BB" w:rsidRDefault="005A2C26" w:rsidP="007F3D03">
      <w:pPr>
        <w:spacing w:after="80" w:line="240" w:lineRule="auto"/>
        <w:rPr>
          <w:rFonts w:eastAsia="Times New Roman" w:cs="Times New Roman"/>
          <w:sz w:val="20"/>
          <w:szCs w:val="20"/>
        </w:rPr>
      </w:pPr>
      <w:r>
        <w:rPr>
          <w:rStyle w:val="FootnoteReference"/>
        </w:rPr>
        <w:footnoteRef/>
      </w:r>
      <w:r>
        <w:t xml:space="preserve"> </w:t>
      </w:r>
      <w:r w:rsidRPr="00AB45BB">
        <w:rPr>
          <w:rFonts w:eastAsia="Times New Roman" w:cs="Times New Roman"/>
          <w:sz w:val="20"/>
          <w:szCs w:val="20"/>
        </w:rPr>
        <w:t xml:space="preserve">Robert M Gordon, ‘The Emergence of Assisted </w:t>
      </w:r>
      <w:r>
        <w:rPr>
          <w:rFonts w:eastAsia="Times New Roman" w:cs="Times New Roman"/>
          <w:sz w:val="20"/>
          <w:szCs w:val="20"/>
        </w:rPr>
        <w:t xml:space="preserve"> </w:t>
      </w:r>
      <w:r w:rsidRPr="00AB45BB">
        <w:rPr>
          <w:rFonts w:eastAsia="Times New Roman" w:cs="Times New Roman"/>
          <w:sz w:val="20"/>
          <w:szCs w:val="20"/>
        </w:rPr>
        <w:t xml:space="preserve">(Supported) Decision-Making in the Canadian Law </w:t>
      </w:r>
    </w:p>
    <w:p w14:paraId="680B393A" w14:textId="77777777" w:rsidR="005A2C26" w:rsidRPr="00AB45BB" w:rsidRDefault="005A2C26" w:rsidP="007F3D03">
      <w:pPr>
        <w:spacing w:after="80" w:line="240" w:lineRule="auto"/>
        <w:rPr>
          <w:rFonts w:eastAsia="Times New Roman" w:cs="Times New Roman"/>
          <w:sz w:val="20"/>
          <w:szCs w:val="20"/>
        </w:rPr>
      </w:pPr>
      <w:r w:rsidRPr="00AB45BB">
        <w:rPr>
          <w:rFonts w:eastAsia="Times New Roman" w:cs="Times New Roman"/>
          <w:sz w:val="20"/>
          <w:szCs w:val="20"/>
        </w:rPr>
        <w:t xml:space="preserve">of Adult Guardianship and Substitute Decision-Making’ (2000) 23 </w:t>
      </w:r>
      <w:r w:rsidRPr="00AB45BB">
        <w:rPr>
          <w:rFonts w:eastAsia="Times New Roman" w:cs="Times New Roman"/>
          <w:i/>
          <w:sz w:val="20"/>
          <w:szCs w:val="20"/>
        </w:rPr>
        <w:t>International Journal of Law and Psychiatry</w:t>
      </w:r>
    </w:p>
    <w:p w14:paraId="119F5F15" w14:textId="77777777" w:rsidR="005A2C26" w:rsidRPr="00A65D08" w:rsidRDefault="005A2C26" w:rsidP="007F3D03">
      <w:pPr>
        <w:spacing w:after="80" w:line="240" w:lineRule="auto"/>
        <w:rPr>
          <w:rFonts w:eastAsia="Times New Roman" w:cs="Times New Roman"/>
          <w:sz w:val="20"/>
          <w:szCs w:val="20"/>
        </w:rPr>
      </w:pPr>
      <w:r w:rsidRPr="00AB45BB">
        <w:rPr>
          <w:rFonts w:eastAsia="Times New Roman" w:cs="Times New Roman"/>
          <w:sz w:val="20"/>
          <w:szCs w:val="20"/>
        </w:rPr>
        <w:t>61, 63</w:t>
      </w:r>
    </w:p>
  </w:footnote>
  <w:footnote w:id="39">
    <w:p w14:paraId="2A0F6985" w14:textId="77777777" w:rsidR="005A2C26" w:rsidRPr="00AB45BB" w:rsidRDefault="005A2C26" w:rsidP="007F3D03">
      <w:pPr>
        <w:spacing w:after="80" w:line="240" w:lineRule="auto"/>
        <w:rPr>
          <w:rFonts w:eastAsia="Times New Roman" w:cs="Times New Roman"/>
          <w:sz w:val="20"/>
          <w:szCs w:val="20"/>
        </w:rPr>
      </w:pPr>
      <w:r>
        <w:rPr>
          <w:rStyle w:val="FootnoteReference"/>
        </w:rPr>
        <w:footnoteRef/>
      </w:r>
      <w:r>
        <w:t xml:space="preserve"> </w:t>
      </w:r>
      <w:r w:rsidRPr="00AB45BB">
        <w:rPr>
          <w:rFonts w:eastAsia="Times New Roman" w:cs="Times New Roman"/>
          <w:sz w:val="20"/>
          <w:szCs w:val="20"/>
        </w:rPr>
        <w:t xml:space="preserve">Terry Carney and Patrick </w:t>
      </w:r>
      <w:proofErr w:type="spellStart"/>
      <w:r w:rsidRPr="00AB45BB">
        <w:rPr>
          <w:rFonts w:eastAsia="Times New Roman" w:cs="Times New Roman"/>
          <w:sz w:val="20"/>
          <w:szCs w:val="20"/>
        </w:rPr>
        <w:t>Keyzer</w:t>
      </w:r>
      <w:proofErr w:type="spellEnd"/>
      <w:r w:rsidRPr="00AB45BB">
        <w:rPr>
          <w:rFonts w:eastAsia="Times New Roman" w:cs="Times New Roman"/>
          <w:sz w:val="20"/>
          <w:szCs w:val="20"/>
        </w:rPr>
        <w:t xml:space="preserve">, ‘Planning for the Future: Arrangements for the Assistance of People </w:t>
      </w:r>
    </w:p>
    <w:p w14:paraId="2C4FD255" w14:textId="77777777" w:rsidR="005A2C26" w:rsidRPr="00AB45BB" w:rsidRDefault="005A2C26" w:rsidP="007F3D03">
      <w:pPr>
        <w:spacing w:after="80" w:line="240" w:lineRule="auto"/>
        <w:rPr>
          <w:rFonts w:eastAsia="Times New Roman" w:cs="Times New Roman"/>
          <w:sz w:val="20"/>
          <w:szCs w:val="20"/>
        </w:rPr>
      </w:pPr>
      <w:r w:rsidRPr="00AB45BB">
        <w:rPr>
          <w:rFonts w:eastAsia="Times New Roman" w:cs="Times New Roman"/>
          <w:sz w:val="20"/>
          <w:szCs w:val="20"/>
        </w:rPr>
        <w:t xml:space="preserve">Planning for the Future of People with Impaired Capacity’ (2007) 7 Queensland University of Technology </w:t>
      </w:r>
    </w:p>
    <w:p w14:paraId="0D44D781" w14:textId="77777777" w:rsidR="005A2C26" w:rsidRPr="00F12375" w:rsidRDefault="005A2C26" w:rsidP="007F3D03">
      <w:pPr>
        <w:spacing w:after="80" w:line="240" w:lineRule="auto"/>
        <w:rPr>
          <w:rFonts w:eastAsia="Times New Roman" w:cs="Times New Roman"/>
          <w:sz w:val="20"/>
          <w:szCs w:val="20"/>
        </w:rPr>
      </w:pPr>
      <w:r w:rsidRPr="00AB45BB">
        <w:rPr>
          <w:rFonts w:eastAsia="Times New Roman" w:cs="Times New Roman"/>
          <w:i/>
          <w:sz w:val="20"/>
          <w:szCs w:val="20"/>
        </w:rPr>
        <w:t>Law and Justice Journal</w:t>
      </w:r>
      <w:r>
        <w:rPr>
          <w:rFonts w:eastAsia="Times New Roman" w:cs="Times New Roman"/>
          <w:sz w:val="20"/>
          <w:szCs w:val="20"/>
        </w:rPr>
        <w:t xml:space="preserve"> </w:t>
      </w:r>
      <w:r w:rsidRPr="00AB45BB">
        <w:rPr>
          <w:rFonts w:eastAsia="Times New Roman" w:cs="Times New Roman"/>
          <w:sz w:val="20"/>
          <w:szCs w:val="20"/>
        </w:rPr>
        <w:t xml:space="preserve">255. </w:t>
      </w:r>
    </w:p>
  </w:footnote>
  <w:footnote w:id="40">
    <w:p w14:paraId="250C346D" w14:textId="77777777" w:rsidR="005A2C26" w:rsidRPr="00B448B6" w:rsidRDefault="005A2C26" w:rsidP="007F3D03">
      <w:pPr>
        <w:pStyle w:val="FootnoteText"/>
        <w:spacing w:after="80" w:line="240" w:lineRule="auto"/>
        <w:rPr>
          <w:lang w:val="en-US"/>
        </w:rPr>
      </w:pPr>
      <w:r>
        <w:rPr>
          <w:rStyle w:val="FootnoteReference"/>
        </w:rPr>
        <w:footnoteRef/>
      </w:r>
      <w:r>
        <w:t xml:space="preserve"> </w:t>
      </w:r>
      <w:r>
        <w:rPr>
          <w:lang w:val="en-US"/>
        </w:rPr>
        <w:t>S.4(1)(c)</w:t>
      </w:r>
    </w:p>
  </w:footnote>
  <w:footnote w:id="41">
    <w:p w14:paraId="6043F4CA" w14:textId="77777777" w:rsidR="005A2C26" w:rsidRPr="00135DBF" w:rsidRDefault="005A2C26" w:rsidP="007F3D03">
      <w:pPr>
        <w:pStyle w:val="FootnoteText"/>
        <w:spacing w:after="80" w:line="240" w:lineRule="auto"/>
        <w:rPr>
          <w:lang w:val="en-US"/>
        </w:rPr>
      </w:pPr>
      <w:r>
        <w:rPr>
          <w:rStyle w:val="FootnoteReference"/>
        </w:rPr>
        <w:footnoteRef/>
      </w:r>
      <w:r>
        <w:t xml:space="preserve"> </w:t>
      </w:r>
      <w:r>
        <w:rPr>
          <w:lang w:val="en-US"/>
        </w:rPr>
        <w:t>S.21(c)</w:t>
      </w:r>
    </w:p>
  </w:footnote>
  <w:footnote w:id="42">
    <w:p w14:paraId="2A12D641" w14:textId="77777777" w:rsidR="005A2C26" w:rsidRPr="00135DBF" w:rsidRDefault="005A2C26" w:rsidP="007F3D03">
      <w:pPr>
        <w:pStyle w:val="FootnoteText"/>
        <w:spacing w:after="80" w:line="240" w:lineRule="auto"/>
        <w:rPr>
          <w:lang w:val="en-US"/>
        </w:rPr>
      </w:pPr>
      <w:r>
        <w:rPr>
          <w:rStyle w:val="FootnoteReference"/>
        </w:rPr>
        <w:footnoteRef/>
      </w:r>
      <w:r>
        <w:t xml:space="preserve"> </w:t>
      </w:r>
      <w:r>
        <w:rPr>
          <w:lang w:val="en-US"/>
        </w:rPr>
        <w:t>S.22</w:t>
      </w:r>
    </w:p>
  </w:footnote>
  <w:footnote w:id="43">
    <w:p w14:paraId="2FB25288" w14:textId="77777777" w:rsidR="005A2C26" w:rsidRPr="000B0A7F" w:rsidRDefault="005A2C26" w:rsidP="007F3D03">
      <w:pPr>
        <w:pStyle w:val="FootnoteText"/>
        <w:spacing w:after="80" w:line="240" w:lineRule="auto"/>
      </w:pPr>
      <w:r w:rsidRPr="000B0A7F">
        <w:rPr>
          <w:rStyle w:val="FootnoteReference"/>
        </w:rPr>
        <w:footnoteRef/>
      </w:r>
      <w:r w:rsidRPr="000B0A7F">
        <w:t xml:space="preserve"> Wendy Lacey, ‘Neglectful to the Point of cruelty? Elder abuse and the rights of older persons in Australia’, (2014) 34 </w:t>
      </w:r>
      <w:r w:rsidRPr="000B0A7F">
        <w:rPr>
          <w:i/>
        </w:rPr>
        <w:t>Sydney Law Review</w:t>
      </w:r>
      <w:r w:rsidRPr="000B0A7F">
        <w:t xml:space="preserve"> 99.</w:t>
      </w:r>
    </w:p>
  </w:footnote>
  <w:footnote w:id="44">
    <w:p w14:paraId="6714F9DB" w14:textId="77777777" w:rsidR="005A2C26" w:rsidRPr="000B0A7F" w:rsidRDefault="005A2C26" w:rsidP="007F3D03">
      <w:pPr>
        <w:pStyle w:val="FootnoteText"/>
        <w:spacing w:after="80" w:line="240" w:lineRule="auto"/>
      </w:pPr>
      <w:r w:rsidRPr="000B0A7F">
        <w:rPr>
          <w:rStyle w:val="FootnoteReference"/>
        </w:rPr>
        <w:footnoteRef/>
      </w:r>
      <w:r w:rsidRPr="000B0A7F">
        <w:t xml:space="preserve"> Rae </w:t>
      </w:r>
      <w:proofErr w:type="spellStart"/>
      <w:r w:rsidRPr="000B0A7F">
        <w:t>Kaspiew</w:t>
      </w:r>
      <w:proofErr w:type="spellEnd"/>
      <w:r w:rsidRPr="000B0A7F">
        <w:t>, ‘Elder Abuse’ (Australian Institute of Family Studies, 2016) 21</w:t>
      </w:r>
    </w:p>
  </w:footnote>
  <w:footnote w:id="45">
    <w:p w14:paraId="2AC22738" w14:textId="77777777" w:rsidR="005A2C26" w:rsidRPr="000B0A7F" w:rsidRDefault="005A2C26" w:rsidP="007F3D03">
      <w:pPr>
        <w:spacing w:after="80" w:line="240" w:lineRule="auto"/>
        <w:rPr>
          <w:rFonts w:eastAsia="Times New Roman" w:cs="Arial"/>
          <w:sz w:val="20"/>
          <w:szCs w:val="20"/>
          <w:lang w:eastAsia="en-AU"/>
        </w:rPr>
      </w:pPr>
      <w:r w:rsidRPr="000B0A7F">
        <w:rPr>
          <w:rStyle w:val="FootnoteReference"/>
          <w:sz w:val="20"/>
          <w:szCs w:val="20"/>
        </w:rPr>
        <w:footnoteRef/>
      </w:r>
      <w:r w:rsidRPr="000B0A7F">
        <w:rPr>
          <w:sz w:val="20"/>
          <w:szCs w:val="20"/>
        </w:rPr>
        <w:t xml:space="preserve"> Australian Law Reform Commission, Elder Abuse </w:t>
      </w:r>
      <w:r w:rsidRPr="000B0A7F">
        <w:rPr>
          <w:rFonts w:eastAsia="Times New Roman" w:cs="Arial"/>
          <w:sz w:val="20"/>
          <w:szCs w:val="20"/>
          <w:lang w:eastAsia="en-AU"/>
        </w:rPr>
        <w:t>Issues Paper 47 (Australian Government, June 2016).</w:t>
      </w:r>
    </w:p>
  </w:footnote>
  <w:footnote w:id="46">
    <w:p w14:paraId="75674EF4" w14:textId="77777777" w:rsidR="005A2C26" w:rsidRPr="00393DEB" w:rsidRDefault="005A2C26" w:rsidP="007F3D03">
      <w:pPr>
        <w:spacing w:after="80" w:line="240" w:lineRule="auto"/>
        <w:rPr>
          <w:rFonts w:ascii="Arial" w:eastAsia="Times New Roman" w:hAnsi="Arial" w:cs="Arial"/>
          <w:sz w:val="30"/>
          <w:szCs w:val="30"/>
        </w:rPr>
      </w:pPr>
      <w:r>
        <w:rPr>
          <w:rStyle w:val="FootnoteReference"/>
        </w:rPr>
        <w:footnoteRef/>
      </w:r>
      <w:r>
        <w:t xml:space="preserve"> </w:t>
      </w:r>
      <w:r w:rsidRPr="00711C65">
        <w:rPr>
          <w:rFonts w:eastAsia="Times New Roman" w:cstheme="minorHAnsi"/>
          <w:sz w:val="20"/>
          <w:szCs w:val="20"/>
        </w:rPr>
        <w:t>Seniors Rights</w:t>
      </w:r>
      <w:r w:rsidRPr="00393DEB">
        <w:rPr>
          <w:rFonts w:eastAsia="Times New Roman" w:cstheme="minorHAnsi"/>
          <w:sz w:val="20"/>
          <w:szCs w:val="20"/>
        </w:rPr>
        <w:t>,</w:t>
      </w:r>
      <w:r>
        <w:rPr>
          <w:rFonts w:eastAsia="Times New Roman" w:cstheme="minorHAnsi"/>
          <w:sz w:val="20"/>
          <w:szCs w:val="20"/>
        </w:rPr>
        <w:t xml:space="preserve"> </w:t>
      </w:r>
      <w:r w:rsidRPr="00711C65">
        <w:rPr>
          <w:rFonts w:eastAsia="Times New Roman" w:cstheme="minorHAnsi"/>
          <w:sz w:val="20"/>
          <w:szCs w:val="20"/>
        </w:rPr>
        <w:t>Victoria</w:t>
      </w:r>
      <w:r w:rsidRPr="00393DEB">
        <w:rPr>
          <w:rFonts w:eastAsia="Times New Roman" w:cstheme="minorHAnsi"/>
          <w:sz w:val="20"/>
          <w:szCs w:val="20"/>
        </w:rPr>
        <w:t>,</w:t>
      </w:r>
      <w:r>
        <w:rPr>
          <w:rFonts w:eastAsia="Times New Roman" w:cstheme="minorHAnsi"/>
          <w:sz w:val="20"/>
          <w:szCs w:val="20"/>
        </w:rPr>
        <w:t xml:space="preserve"> </w:t>
      </w:r>
      <w:r w:rsidRPr="00711C65">
        <w:rPr>
          <w:rFonts w:eastAsia="Times New Roman" w:cstheme="minorHAnsi"/>
          <w:sz w:val="20"/>
          <w:szCs w:val="20"/>
        </w:rPr>
        <w:t>Submission to ALRC on Elder Abuse</w:t>
      </w:r>
      <w:r w:rsidRPr="00393DEB">
        <w:rPr>
          <w:rFonts w:eastAsia="Times New Roman" w:cstheme="minorHAnsi"/>
          <w:sz w:val="20"/>
          <w:szCs w:val="20"/>
        </w:rPr>
        <w:t>, 2016,</w:t>
      </w:r>
      <w:r>
        <w:rPr>
          <w:rFonts w:eastAsia="Times New Roman" w:cstheme="minorHAnsi"/>
          <w:sz w:val="20"/>
          <w:szCs w:val="20"/>
        </w:rPr>
        <w:t xml:space="preserve"> Submission 14,</w:t>
      </w:r>
      <w:r w:rsidRPr="00393DEB">
        <w:rPr>
          <w:rFonts w:eastAsia="Times New Roman" w:cstheme="minorHAnsi"/>
          <w:sz w:val="20"/>
          <w:szCs w:val="20"/>
        </w:rPr>
        <w:t xml:space="preserve"> 8.</w:t>
      </w:r>
    </w:p>
  </w:footnote>
  <w:footnote w:id="47">
    <w:p w14:paraId="174CEF03" w14:textId="77777777" w:rsidR="005A2C26" w:rsidRPr="000B0A7F" w:rsidRDefault="005A2C26" w:rsidP="007F3D03">
      <w:pPr>
        <w:spacing w:after="80" w:line="240" w:lineRule="auto"/>
        <w:rPr>
          <w:rFonts w:eastAsia="Times New Roman" w:cstheme="minorHAnsi"/>
          <w:sz w:val="20"/>
          <w:szCs w:val="20"/>
          <w:lang w:val="en-US"/>
        </w:rPr>
      </w:pPr>
      <w:r w:rsidRPr="000B0A7F">
        <w:rPr>
          <w:rStyle w:val="FootnoteReference"/>
          <w:sz w:val="20"/>
          <w:szCs w:val="20"/>
        </w:rPr>
        <w:footnoteRef/>
      </w:r>
      <w:r w:rsidRPr="000B0A7F">
        <w:rPr>
          <w:sz w:val="20"/>
          <w:szCs w:val="20"/>
        </w:rPr>
        <w:t xml:space="preserve">  </w:t>
      </w:r>
      <w:r w:rsidRPr="000B0A7F">
        <w:rPr>
          <w:rFonts w:eastAsia="Times New Roman" w:cstheme="minorHAnsi"/>
          <w:sz w:val="20"/>
          <w:szCs w:val="20"/>
          <w:lang w:val="en-US"/>
        </w:rPr>
        <w:t xml:space="preserve">On 1 September 2015, the General Purpose Standing Committee No. 2 (the Committee) </w:t>
      </w:r>
      <w:r w:rsidRPr="005F049B">
        <w:rPr>
          <w:rFonts w:eastAsia="Times New Roman" w:cstheme="minorHAnsi"/>
          <w:sz w:val="20"/>
          <w:szCs w:val="20"/>
          <w:lang w:val="en-US"/>
        </w:rPr>
        <w:t>commenced the Parliamentary Inquiry into Elder Abuse in NSW. The Committee tabled</w:t>
      </w:r>
      <w:r w:rsidRPr="000B0A7F">
        <w:rPr>
          <w:rFonts w:eastAsia="Times New Roman" w:cstheme="minorHAnsi"/>
          <w:sz w:val="20"/>
          <w:szCs w:val="20"/>
          <w:lang w:val="en-US"/>
        </w:rPr>
        <w:t xml:space="preserve"> </w:t>
      </w:r>
      <w:r w:rsidRPr="005F049B">
        <w:rPr>
          <w:rFonts w:eastAsia="Times New Roman" w:cstheme="minorHAnsi"/>
          <w:sz w:val="20"/>
          <w:szCs w:val="20"/>
          <w:lang w:val="en-US"/>
        </w:rPr>
        <w:t xml:space="preserve">its report on 24 June 2016.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1B70B" w14:textId="07B9F543" w:rsidR="00286917" w:rsidRDefault="00286917">
    <w:pPr>
      <w:pStyle w:val="Header"/>
    </w:pPr>
    <w:r>
      <w:rPr>
        <w:noProof/>
      </w:rPr>
      <w:pict w14:anchorId="54E72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1.45pt;margin-top:274.65pt;width:494.9pt;height:164.95pt;rotation:315;z-index:-251656192;mso-position-horizontal-relative:margin;mso-position-vertical-relative:margin" o:allowincell="f" fillcolor="silver" stroked="f">
          <v:fill opacity=".5"/>
          <v:textpath style="font-family:&quot;Calibri&quot;;font-size:1pt" string="DO NOT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86DF" w14:textId="4FF563F6" w:rsidR="005A2C26" w:rsidRPr="00E006FC" w:rsidRDefault="00F1710F" w:rsidP="00286917">
    <w:pPr>
      <w:pStyle w:val="Header"/>
    </w:pPr>
    <w:sdt>
      <w:sdtPr>
        <w:id w:val="751317421"/>
        <w:docPartObj>
          <w:docPartGallery w:val="Watermarks"/>
          <w:docPartUnique/>
        </w:docPartObj>
      </w:sdtPr>
      <w:sdtContent>
        <w:r>
          <w:rPr>
            <w:noProof/>
          </w:rPr>
          <w:pict w14:anchorId="54E72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2058"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8465B"/>
    <w:multiLevelType w:val="hybridMultilevel"/>
    <w:tmpl w:val="96663F4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4366955"/>
    <w:multiLevelType w:val="hybridMultilevel"/>
    <w:tmpl w:val="46246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0323E9"/>
    <w:multiLevelType w:val="hybridMultilevel"/>
    <w:tmpl w:val="E394389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8730680"/>
    <w:multiLevelType w:val="hybridMultilevel"/>
    <w:tmpl w:val="3D7C1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7B3D16"/>
    <w:multiLevelType w:val="hybridMultilevel"/>
    <w:tmpl w:val="EB90B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1A796C"/>
    <w:multiLevelType w:val="hybridMultilevel"/>
    <w:tmpl w:val="D08041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DC12A8A"/>
    <w:multiLevelType w:val="hybridMultilevel"/>
    <w:tmpl w:val="4EACB3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F397EC1"/>
    <w:multiLevelType w:val="hybridMultilevel"/>
    <w:tmpl w:val="DDD858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76C1200"/>
    <w:multiLevelType w:val="hybridMultilevel"/>
    <w:tmpl w:val="5B320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295051"/>
    <w:multiLevelType w:val="hybridMultilevel"/>
    <w:tmpl w:val="082AA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0CE107D"/>
    <w:multiLevelType w:val="hybridMultilevel"/>
    <w:tmpl w:val="9EC2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473580"/>
    <w:multiLevelType w:val="hybridMultilevel"/>
    <w:tmpl w:val="40FC7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C111F08"/>
    <w:multiLevelType w:val="hybridMultilevel"/>
    <w:tmpl w:val="5094C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A908A7"/>
    <w:multiLevelType w:val="hybridMultilevel"/>
    <w:tmpl w:val="124C4004"/>
    <w:lvl w:ilvl="0" w:tplc="67802DD6">
      <w:start w:val="1"/>
      <w:numFmt w:val="lowerLetter"/>
      <w:lvlText w:val="%1)"/>
      <w:lvlJc w:val="left"/>
      <w:pPr>
        <w:ind w:left="785" w:hanging="360"/>
      </w:pPr>
      <w:rPr>
        <w:rFonts w:ascii="Times New Roman" w:eastAsiaTheme="minorHAnsi" w:hAnsi="Times New Roman" w:cs="Times New Roman"/>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22A04A3"/>
    <w:multiLevelType w:val="hybridMultilevel"/>
    <w:tmpl w:val="1040C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F03E8B"/>
    <w:multiLevelType w:val="hybridMultilevel"/>
    <w:tmpl w:val="8E3C13E8"/>
    <w:lvl w:ilvl="0" w:tplc="04090003">
      <w:start w:val="1"/>
      <w:numFmt w:val="bullet"/>
      <w:lvlText w:val="o"/>
      <w:lvlJc w:val="left"/>
      <w:pPr>
        <w:ind w:left="1500" w:hanging="360"/>
      </w:pPr>
      <w:rPr>
        <w:rFonts w:ascii="Courier New" w:hAnsi="Courier New" w:cs="Courier New"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6" w15:restartNumberingAfterBreak="0">
    <w:nsid w:val="76950BE6"/>
    <w:multiLevelType w:val="hybridMultilevel"/>
    <w:tmpl w:val="48F2C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8BE6B3F"/>
    <w:multiLevelType w:val="hybridMultilevel"/>
    <w:tmpl w:val="1890C110"/>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num w:numId="1">
    <w:abstractNumId w:val="10"/>
  </w:num>
  <w:num w:numId="2">
    <w:abstractNumId w:val="4"/>
  </w:num>
  <w:num w:numId="3">
    <w:abstractNumId w:val="2"/>
  </w:num>
  <w:num w:numId="4">
    <w:abstractNumId w:val="15"/>
  </w:num>
  <w:num w:numId="5">
    <w:abstractNumId w:val="17"/>
  </w:num>
  <w:num w:numId="6">
    <w:abstractNumId w:val="3"/>
  </w:num>
  <w:num w:numId="7">
    <w:abstractNumId w:val="9"/>
  </w:num>
  <w:num w:numId="8">
    <w:abstractNumId w:val="11"/>
  </w:num>
  <w:num w:numId="9">
    <w:abstractNumId w:val="1"/>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2"/>
  </w:num>
  <w:num w:numId="15">
    <w:abstractNumId w:val="8"/>
  </w:num>
  <w:num w:numId="16">
    <w:abstractNumId w:val="14"/>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806"/>
    <w:rsid w:val="00055DF3"/>
    <w:rsid w:val="00074697"/>
    <w:rsid w:val="00080A39"/>
    <w:rsid w:val="000F66F7"/>
    <w:rsid w:val="00106D41"/>
    <w:rsid w:val="00135DBF"/>
    <w:rsid w:val="001641CD"/>
    <w:rsid w:val="00177B0C"/>
    <w:rsid w:val="001E36DA"/>
    <w:rsid w:val="001F0D77"/>
    <w:rsid w:val="001F1F1B"/>
    <w:rsid w:val="00205A0B"/>
    <w:rsid w:val="002073F9"/>
    <w:rsid w:val="0021023D"/>
    <w:rsid w:val="002424BF"/>
    <w:rsid w:val="0025694A"/>
    <w:rsid w:val="00286917"/>
    <w:rsid w:val="00293204"/>
    <w:rsid w:val="002D0DB5"/>
    <w:rsid w:val="002D5B89"/>
    <w:rsid w:val="002E22A7"/>
    <w:rsid w:val="002E746C"/>
    <w:rsid w:val="002F3D5A"/>
    <w:rsid w:val="002F4EB2"/>
    <w:rsid w:val="00303752"/>
    <w:rsid w:val="00361F7D"/>
    <w:rsid w:val="00393DEB"/>
    <w:rsid w:val="0039714B"/>
    <w:rsid w:val="0039729F"/>
    <w:rsid w:val="003C520F"/>
    <w:rsid w:val="0041296A"/>
    <w:rsid w:val="004162D2"/>
    <w:rsid w:val="004539E1"/>
    <w:rsid w:val="00465329"/>
    <w:rsid w:val="004A6337"/>
    <w:rsid w:val="004E7313"/>
    <w:rsid w:val="00555806"/>
    <w:rsid w:val="005A2C26"/>
    <w:rsid w:val="005B643C"/>
    <w:rsid w:val="005D51A2"/>
    <w:rsid w:val="005E6D05"/>
    <w:rsid w:val="005F1FFE"/>
    <w:rsid w:val="0060443F"/>
    <w:rsid w:val="00606C14"/>
    <w:rsid w:val="00667BAF"/>
    <w:rsid w:val="0067687E"/>
    <w:rsid w:val="006815DC"/>
    <w:rsid w:val="006A09F0"/>
    <w:rsid w:val="006E1998"/>
    <w:rsid w:val="006E463D"/>
    <w:rsid w:val="006F0F3A"/>
    <w:rsid w:val="007159F5"/>
    <w:rsid w:val="00721E29"/>
    <w:rsid w:val="00725DEE"/>
    <w:rsid w:val="00733AC8"/>
    <w:rsid w:val="007368C6"/>
    <w:rsid w:val="00766E11"/>
    <w:rsid w:val="00775BDB"/>
    <w:rsid w:val="007A65D4"/>
    <w:rsid w:val="007D64AA"/>
    <w:rsid w:val="007E46D8"/>
    <w:rsid w:val="007F1EF4"/>
    <w:rsid w:val="007F3D03"/>
    <w:rsid w:val="007F4CC6"/>
    <w:rsid w:val="00866C05"/>
    <w:rsid w:val="0089045C"/>
    <w:rsid w:val="008A2691"/>
    <w:rsid w:val="008E1869"/>
    <w:rsid w:val="008F76EF"/>
    <w:rsid w:val="00900570"/>
    <w:rsid w:val="00906651"/>
    <w:rsid w:val="0093321A"/>
    <w:rsid w:val="009737AA"/>
    <w:rsid w:val="00997C6E"/>
    <w:rsid w:val="009A3339"/>
    <w:rsid w:val="009A3FDE"/>
    <w:rsid w:val="009C641E"/>
    <w:rsid w:val="009F5BB2"/>
    <w:rsid w:val="00A15F85"/>
    <w:rsid w:val="00A30F4E"/>
    <w:rsid w:val="00A55483"/>
    <w:rsid w:val="00A65D08"/>
    <w:rsid w:val="00A84D9A"/>
    <w:rsid w:val="00AA15AB"/>
    <w:rsid w:val="00AA763F"/>
    <w:rsid w:val="00AE708A"/>
    <w:rsid w:val="00B108C4"/>
    <w:rsid w:val="00B22B4D"/>
    <w:rsid w:val="00B34180"/>
    <w:rsid w:val="00B42ED9"/>
    <w:rsid w:val="00B448B6"/>
    <w:rsid w:val="00B637BB"/>
    <w:rsid w:val="00B70D73"/>
    <w:rsid w:val="00B75278"/>
    <w:rsid w:val="00B76111"/>
    <w:rsid w:val="00B810F1"/>
    <w:rsid w:val="00B8386B"/>
    <w:rsid w:val="00B93BAD"/>
    <w:rsid w:val="00B96C4F"/>
    <w:rsid w:val="00BD4434"/>
    <w:rsid w:val="00BF7B48"/>
    <w:rsid w:val="00C1073D"/>
    <w:rsid w:val="00C11853"/>
    <w:rsid w:val="00C27E50"/>
    <w:rsid w:val="00C335EC"/>
    <w:rsid w:val="00C4216A"/>
    <w:rsid w:val="00C64141"/>
    <w:rsid w:val="00C97F53"/>
    <w:rsid w:val="00D203EE"/>
    <w:rsid w:val="00D262ED"/>
    <w:rsid w:val="00D31ACB"/>
    <w:rsid w:val="00D66D46"/>
    <w:rsid w:val="00D7778D"/>
    <w:rsid w:val="00D8498B"/>
    <w:rsid w:val="00D87259"/>
    <w:rsid w:val="00D9471F"/>
    <w:rsid w:val="00DA4804"/>
    <w:rsid w:val="00DC09CE"/>
    <w:rsid w:val="00DD148E"/>
    <w:rsid w:val="00DD751A"/>
    <w:rsid w:val="00E006FC"/>
    <w:rsid w:val="00E478A1"/>
    <w:rsid w:val="00E51758"/>
    <w:rsid w:val="00E55F08"/>
    <w:rsid w:val="00E62791"/>
    <w:rsid w:val="00E63FCD"/>
    <w:rsid w:val="00E93926"/>
    <w:rsid w:val="00E97F6D"/>
    <w:rsid w:val="00F069C0"/>
    <w:rsid w:val="00F12375"/>
    <w:rsid w:val="00F15C80"/>
    <w:rsid w:val="00F1710F"/>
    <w:rsid w:val="00F34F97"/>
    <w:rsid w:val="00F41BA0"/>
    <w:rsid w:val="00F51ED2"/>
    <w:rsid w:val="00F562DA"/>
    <w:rsid w:val="00FA49A4"/>
    <w:rsid w:val="00FB2F69"/>
    <w:rsid w:val="00FB679E"/>
    <w:rsid w:val="00FC2591"/>
    <w:rsid w:val="00FC7503"/>
    <w:rsid w:val="00FD6B4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1439EB52"/>
  <w15:docId w15:val="{445EC6E8-0DD0-4C32-BD62-5CB3F44F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ED9"/>
    <w:pPr>
      <w:spacing w:after="120" w:line="271" w:lineRule="auto"/>
    </w:pPr>
    <w:rPr>
      <w:rFonts w:ascii="Times New Roman" w:hAnsi="Times New Roman"/>
      <w:sz w:val="24"/>
      <w:lang w:val="en-AU"/>
    </w:rPr>
  </w:style>
  <w:style w:type="paragraph" w:styleId="Heading1">
    <w:name w:val="heading 1"/>
    <w:basedOn w:val="Normal"/>
    <w:next w:val="Normal"/>
    <w:link w:val="Heading1Char"/>
    <w:uiPriority w:val="9"/>
    <w:qFormat/>
    <w:rsid w:val="00E006FC"/>
    <w:pPr>
      <w:keepNext/>
      <w:keepLines/>
      <w:spacing w:before="480"/>
      <w:outlineLvl w:val="0"/>
    </w:pPr>
    <w:rPr>
      <w:rFonts w:ascii="Century Gothic" w:eastAsiaTheme="majorEastAsia" w:hAnsi="Century Gothic" w:cstheme="majorBidi"/>
      <w:bCs/>
      <w:color w:val="365F91" w:themeColor="accent1" w:themeShade="BF"/>
      <w:sz w:val="28"/>
      <w:szCs w:val="28"/>
    </w:rPr>
  </w:style>
  <w:style w:type="paragraph" w:styleId="Heading2">
    <w:name w:val="heading 2"/>
    <w:basedOn w:val="Normal"/>
    <w:next w:val="Normal"/>
    <w:link w:val="Heading2Char"/>
    <w:uiPriority w:val="9"/>
    <w:unhideWhenUsed/>
    <w:qFormat/>
    <w:rsid w:val="00FB2F69"/>
    <w:pPr>
      <w:keepNext/>
      <w:keepLines/>
      <w:spacing w:before="180" w:line="259" w:lineRule="auto"/>
      <w:outlineLvl w:val="1"/>
    </w:pPr>
    <w:rPr>
      <w:rFonts w:ascii="Century Gothic" w:eastAsiaTheme="majorEastAsia" w:hAnsi="Century Gothic" w:cstheme="majorBidi"/>
      <w:i/>
      <w:color w:val="365F91" w:themeColor="accent1" w:themeShade="BF"/>
      <w:szCs w:val="26"/>
    </w:rPr>
  </w:style>
  <w:style w:type="paragraph" w:styleId="Heading3">
    <w:name w:val="heading 3"/>
    <w:basedOn w:val="Normal"/>
    <w:next w:val="Normal"/>
    <w:link w:val="Heading3Char"/>
    <w:uiPriority w:val="9"/>
    <w:unhideWhenUsed/>
    <w:qFormat/>
    <w:rsid w:val="00E55F08"/>
    <w:pPr>
      <w:keepNext/>
      <w:keepLines/>
      <w:spacing w:before="40"/>
      <w:outlineLvl w:val="2"/>
    </w:pPr>
    <w:rPr>
      <w:rFonts w:ascii="Century Gothic" w:eastAsiaTheme="majorEastAsia" w:hAnsi="Century Gothic" w:cstheme="majorBidi"/>
      <w:b/>
      <w:color w:val="365F91"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55806"/>
    <w:rPr>
      <w:sz w:val="20"/>
      <w:szCs w:val="20"/>
    </w:rPr>
  </w:style>
  <w:style w:type="character" w:customStyle="1" w:styleId="FootnoteTextChar">
    <w:name w:val="Footnote Text Char"/>
    <w:basedOn w:val="DefaultParagraphFont"/>
    <w:link w:val="FootnoteText"/>
    <w:uiPriority w:val="99"/>
    <w:semiHidden/>
    <w:rsid w:val="00555806"/>
    <w:rPr>
      <w:sz w:val="20"/>
      <w:szCs w:val="20"/>
      <w:lang w:val="en-AU"/>
    </w:rPr>
  </w:style>
  <w:style w:type="character" w:styleId="FootnoteReference">
    <w:name w:val="footnote reference"/>
    <w:basedOn w:val="DefaultParagraphFont"/>
    <w:uiPriority w:val="99"/>
    <w:unhideWhenUsed/>
    <w:rsid w:val="00555806"/>
    <w:rPr>
      <w:vertAlign w:val="superscript"/>
    </w:rPr>
  </w:style>
  <w:style w:type="paragraph" w:customStyle="1" w:styleId="Default">
    <w:name w:val="Default"/>
    <w:uiPriority w:val="99"/>
    <w:rsid w:val="00555806"/>
    <w:pPr>
      <w:autoSpaceDE w:val="0"/>
      <w:autoSpaceDN w:val="0"/>
      <w:adjustRightInd w:val="0"/>
      <w:spacing w:after="0" w:line="240" w:lineRule="auto"/>
    </w:pPr>
    <w:rPr>
      <w:rFonts w:ascii="GillSans Light" w:hAnsi="GillSans Light" w:cs="GillSans Light"/>
      <w:color w:val="000000"/>
      <w:sz w:val="24"/>
      <w:szCs w:val="24"/>
      <w:lang w:val="en-AU"/>
    </w:rPr>
  </w:style>
  <w:style w:type="character" w:styleId="Emphasis">
    <w:name w:val="Emphasis"/>
    <w:basedOn w:val="DefaultParagraphFont"/>
    <w:uiPriority w:val="20"/>
    <w:qFormat/>
    <w:rsid w:val="00B34180"/>
    <w:rPr>
      <w:i/>
      <w:iCs/>
    </w:rPr>
  </w:style>
  <w:style w:type="character" w:customStyle="1" w:styleId="Heading1Char">
    <w:name w:val="Heading 1 Char"/>
    <w:basedOn w:val="DefaultParagraphFont"/>
    <w:link w:val="Heading1"/>
    <w:uiPriority w:val="9"/>
    <w:rsid w:val="00E006FC"/>
    <w:rPr>
      <w:rFonts w:ascii="Century Gothic" w:eastAsiaTheme="majorEastAsia" w:hAnsi="Century Gothic" w:cstheme="majorBidi"/>
      <w:bCs/>
      <w:color w:val="365F91" w:themeColor="accent1" w:themeShade="BF"/>
      <w:sz w:val="28"/>
      <w:szCs w:val="28"/>
      <w:lang w:val="en-AU"/>
    </w:rPr>
  </w:style>
  <w:style w:type="character" w:styleId="Strong">
    <w:name w:val="Strong"/>
    <w:basedOn w:val="DefaultParagraphFont"/>
    <w:uiPriority w:val="22"/>
    <w:qFormat/>
    <w:rsid w:val="008F76EF"/>
    <w:rPr>
      <w:b/>
      <w:bCs/>
    </w:rPr>
  </w:style>
  <w:style w:type="paragraph" w:styleId="NormalWeb">
    <w:name w:val="Normal (Web)"/>
    <w:basedOn w:val="Normal"/>
    <w:uiPriority w:val="99"/>
    <w:unhideWhenUsed/>
    <w:rsid w:val="00393DEB"/>
    <w:pPr>
      <w:spacing w:before="100" w:beforeAutospacing="1" w:after="100" w:afterAutospacing="1"/>
    </w:pPr>
    <w:rPr>
      <w:rFonts w:eastAsia="Times New Roman" w:cs="Times New Roman"/>
      <w:szCs w:val="24"/>
      <w:lang w:val="en-US"/>
    </w:rPr>
  </w:style>
  <w:style w:type="paragraph" w:styleId="ListParagraph">
    <w:name w:val="List Paragraph"/>
    <w:basedOn w:val="Normal"/>
    <w:uiPriority w:val="34"/>
    <w:qFormat/>
    <w:rsid w:val="004162D2"/>
    <w:pPr>
      <w:ind w:left="720"/>
      <w:contextualSpacing/>
    </w:pPr>
  </w:style>
  <w:style w:type="character" w:styleId="Hyperlink">
    <w:name w:val="Hyperlink"/>
    <w:basedOn w:val="DefaultParagraphFont"/>
    <w:uiPriority w:val="99"/>
    <w:semiHidden/>
    <w:unhideWhenUsed/>
    <w:rsid w:val="00B93BAD"/>
    <w:rPr>
      <w:color w:val="0000FF"/>
      <w:u w:val="single"/>
    </w:rPr>
  </w:style>
  <w:style w:type="paragraph" w:styleId="BalloonText">
    <w:name w:val="Balloon Text"/>
    <w:basedOn w:val="Normal"/>
    <w:link w:val="BalloonTextChar"/>
    <w:uiPriority w:val="99"/>
    <w:semiHidden/>
    <w:unhideWhenUsed/>
    <w:rsid w:val="00DC09CE"/>
    <w:rPr>
      <w:rFonts w:ascii="Tahoma" w:hAnsi="Tahoma" w:cs="Tahoma"/>
      <w:sz w:val="16"/>
      <w:szCs w:val="16"/>
    </w:rPr>
  </w:style>
  <w:style w:type="character" w:customStyle="1" w:styleId="BalloonTextChar">
    <w:name w:val="Balloon Text Char"/>
    <w:basedOn w:val="DefaultParagraphFont"/>
    <w:link w:val="BalloonText"/>
    <w:uiPriority w:val="99"/>
    <w:semiHidden/>
    <w:rsid w:val="00DC09CE"/>
    <w:rPr>
      <w:rFonts w:ascii="Tahoma" w:hAnsi="Tahoma" w:cs="Tahoma"/>
      <w:sz w:val="16"/>
      <w:szCs w:val="16"/>
      <w:lang w:val="en-AU"/>
    </w:rPr>
  </w:style>
  <w:style w:type="paragraph" w:styleId="Header">
    <w:name w:val="header"/>
    <w:basedOn w:val="Normal"/>
    <w:link w:val="HeaderChar"/>
    <w:uiPriority w:val="99"/>
    <w:unhideWhenUsed/>
    <w:rsid w:val="00D7778D"/>
    <w:pPr>
      <w:tabs>
        <w:tab w:val="center" w:pos="4680"/>
        <w:tab w:val="right" w:pos="9360"/>
      </w:tabs>
    </w:pPr>
  </w:style>
  <w:style w:type="character" w:customStyle="1" w:styleId="HeaderChar">
    <w:name w:val="Header Char"/>
    <w:basedOn w:val="DefaultParagraphFont"/>
    <w:link w:val="Header"/>
    <w:uiPriority w:val="99"/>
    <w:rsid w:val="00D7778D"/>
    <w:rPr>
      <w:lang w:val="en-AU"/>
    </w:rPr>
  </w:style>
  <w:style w:type="paragraph" w:styleId="Footer">
    <w:name w:val="footer"/>
    <w:basedOn w:val="Normal"/>
    <w:link w:val="FooterChar"/>
    <w:uiPriority w:val="99"/>
    <w:unhideWhenUsed/>
    <w:rsid w:val="00D7778D"/>
    <w:pPr>
      <w:tabs>
        <w:tab w:val="center" w:pos="4680"/>
        <w:tab w:val="right" w:pos="9360"/>
      </w:tabs>
    </w:pPr>
  </w:style>
  <w:style w:type="character" w:customStyle="1" w:styleId="FooterChar">
    <w:name w:val="Footer Char"/>
    <w:basedOn w:val="DefaultParagraphFont"/>
    <w:link w:val="Footer"/>
    <w:uiPriority w:val="99"/>
    <w:rsid w:val="00D7778D"/>
    <w:rPr>
      <w:lang w:val="en-AU"/>
    </w:rPr>
  </w:style>
  <w:style w:type="character" w:customStyle="1" w:styleId="doctitletoc">
    <w:name w:val="doctitletoc"/>
    <w:basedOn w:val="DefaultParagraphFont"/>
    <w:rsid w:val="002073F9"/>
  </w:style>
  <w:style w:type="character" w:customStyle="1" w:styleId="Heading2Char">
    <w:name w:val="Heading 2 Char"/>
    <w:basedOn w:val="DefaultParagraphFont"/>
    <w:link w:val="Heading2"/>
    <w:uiPriority w:val="9"/>
    <w:rsid w:val="00FB2F69"/>
    <w:rPr>
      <w:rFonts w:ascii="Century Gothic" w:eastAsiaTheme="majorEastAsia" w:hAnsi="Century Gothic" w:cstheme="majorBidi"/>
      <w:i/>
      <w:color w:val="365F91" w:themeColor="accent1" w:themeShade="BF"/>
      <w:sz w:val="24"/>
      <w:szCs w:val="26"/>
      <w:lang w:val="en-AU"/>
    </w:rPr>
  </w:style>
  <w:style w:type="table" w:styleId="TableGrid">
    <w:name w:val="Table Grid"/>
    <w:basedOn w:val="TableNormal"/>
    <w:uiPriority w:val="39"/>
    <w:rsid w:val="008E186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8386B"/>
  </w:style>
  <w:style w:type="character" w:styleId="CommentReference">
    <w:name w:val="annotation reference"/>
    <w:basedOn w:val="DefaultParagraphFont"/>
    <w:uiPriority w:val="99"/>
    <w:semiHidden/>
    <w:unhideWhenUsed/>
    <w:rsid w:val="001641CD"/>
    <w:rPr>
      <w:sz w:val="16"/>
      <w:szCs w:val="16"/>
    </w:rPr>
  </w:style>
  <w:style w:type="paragraph" w:styleId="CommentText">
    <w:name w:val="annotation text"/>
    <w:basedOn w:val="Normal"/>
    <w:link w:val="CommentTextChar"/>
    <w:uiPriority w:val="99"/>
    <w:semiHidden/>
    <w:unhideWhenUsed/>
    <w:rsid w:val="001641CD"/>
    <w:rPr>
      <w:sz w:val="20"/>
      <w:szCs w:val="20"/>
    </w:rPr>
  </w:style>
  <w:style w:type="character" w:customStyle="1" w:styleId="CommentTextChar">
    <w:name w:val="Comment Text Char"/>
    <w:basedOn w:val="DefaultParagraphFont"/>
    <w:link w:val="CommentText"/>
    <w:uiPriority w:val="99"/>
    <w:semiHidden/>
    <w:rsid w:val="001641CD"/>
    <w:rPr>
      <w:sz w:val="20"/>
      <w:szCs w:val="20"/>
      <w:lang w:val="en-AU"/>
    </w:rPr>
  </w:style>
  <w:style w:type="paragraph" w:styleId="CommentSubject">
    <w:name w:val="annotation subject"/>
    <w:basedOn w:val="CommentText"/>
    <w:next w:val="CommentText"/>
    <w:link w:val="CommentSubjectChar"/>
    <w:uiPriority w:val="99"/>
    <w:semiHidden/>
    <w:unhideWhenUsed/>
    <w:rsid w:val="001641CD"/>
    <w:rPr>
      <w:b/>
      <w:bCs/>
    </w:rPr>
  </w:style>
  <w:style w:type="character" w:customStyle="1" w:styleId="CommentSubjectChar">
    <w:name w:val="Comment Subject Char"/>
    <w:basedOn w:val="CommentTextChar"/>
    <w:link w:val="CommentSubject"/>
    <w:uiPriority w:val="99"/>
    <w:semiHidden/>
    <w:rsid w:val="001641CD"/>
    <w:rPr>
      <w:b/>
      <w:bCs/>
      <w:sz w:val="20"/>
      <w:szCs w:val="20"/>
      <w:lang w:val="en-AU"/>
    </w:rPr>
  </w:style>
  <w:style w:type="paragraph" w:styleId="Revision">
    <w:name w:val="Revision"/>
    <w:hidden/>
    <w:uiPriority w:val="99"/>
    <w:semiHidden/>
    <w:rsid w:val="001641CD"/>
    <w:pPr>
      <w:spacing w:after="0" w:line="240" w:lineRule="auto"/>
    </w:pPr>
    <w:rPr>
      <w:lang w:val="en-AU"/>
    </w:rPr>
  </w:style>
  <w:style w:type="character" w:customStyle="1" w:styleId="Heading3Char">
    <w:name w:val="Heading 3 Char"/>
    <w:basedOn w:val="DefaultParagraphFont"/>
    <w:link w:val="Heading3"/>
    <w:uiPriority w:val="9"/>
    <w:rsid w:val="00E55F08"/>
    <w:rPr>
      <w:rFonts w:ascii="Century Gothic" w:eastAsiaTheme="majorEastAsia" w:hAnsi="Century Gothic" w:cstheme="majorBidi"/>
      <w:b/>
      <w:color w:val="365F91" w:themeColor="accent1" w:themeShade="BF"/>
      <w:sz w:val="24"/>
      <w:szCs w:val="24"/>
      <w:lang w:val="en-AU"/>
    </w:rPr>
  </w:style>
  <w:style w:type="table" w:styleId="PlainTable5">
    <w:name w:val="Plain Table 5"/>
    <w:basedOn w:val="TableNormal"/>
    <w:uiPriority w:val="45"/>
    <w:rsid w:val="0090665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250961">
      <w:bodyDiv w:val="1"/>
      <w:marLeft w:val="0"/>
      <w:marRight w:val="0"/>
      <w:marTop w:val="0"/>
      <w:marBottom w:val="0"/>
      <w:divBdr>
        <w:top w:val="none" w:sz="0" w:space="0" w:color="auto"/>
        <w:left w:val="none" w:sz="0" w:space="0" w:color="auto"/>
        <w:bottom w:val="none" w:sz="0" w:space="0" w:color="auto"/>
        <w:right w:val="none" w:sz="0" w:space="0" w:color="auto"/>
      </w:divBdr>
    </w:div>
    <w:div w:id="681202753">
      <w:bodyDiv w:val="1"/>
      <w:marLeft w:val="0"/>
      <w:marRight w:val="0"/>
      <w:marTop w:val="0"/>
      <w:marBottom w:val="0"/>
      <w:divBdr>
        <w:top w:val="none" w:sz="0" w:space="0" w:color="auto"/>
        <w:left w:val="none" w:sz="0" w:space="0" w:color="auto"/>
        <w:bottom w:val="none" w:sz="0" w:space="0" w:color="auto"/>
        <w:right w:val="none" w:sz="0" w:space="0" w:color="auto"/>
      </w:divBdr>
      <w:divsChild>
        <w:div w:id="1628968402">
          <w:marLeft w:val="0"/>
          <w:marRight w:val="0"/>
          <w:marTop w:val="0"/>
          <w:marBottom w:val="0"/>
          <w:divBdr>
            <w:top w:val="none" w:sz="0" w:space="0" w:color="auto"/>
            <w:left w:val="none" w:sz="0" w:space="0" w:color="auto"/>
            <w:bottom w:val="none" w:sz="0" w:space="0" w:color="auto"/>
            <w:right w:val="none" w:sz="0" w:space="0" w:color="auto"/>
          </w:divBdr>
        </w:div>
      </w:divsChild>
    </w:div>
    <w:div w:id="869562260">
      <w:bodyDiv w:val="1"/>
      <w:marLeft w:val="0"/>
      <w:marRight w:val="0"/>
      <w:marTop w:val="0"/>
      <w:marBottom w:val="0"/>
      <w:divBdr>
        <w:top w:val="none" w:sz="0" w:space="0" w:color="auto"/>
        <w:left w:val="none" w:sz="0" w:space="0" w:color="auto"/>
        <w:bottom w:val="none" w:sz="0" w:space="0" w:color="auto"/>
        <w:right w:val="none" w:sz="0" w:space="0" w:color="auto"/>
      </w:divBdr>
    </w:div>
    <w:div w:id="1081636613">
      <w:bodyDiv w:val="1"/>
      <w:marLeft w:val="0"/>
      <w:marRight w:val="0"/>
      <w:marTop w:val="0"/>
      <w:marBottom w:val="0"/>
      <w:divBdr>
        <w:top w:val="none" w:sz="0" w:space="0" w:color="auto"/>
        <w:left w:val="none" w:sz="0" w:space="0" w:color="auto"/>
        <w:bottom w:val="none" w:sz="0" w:space="0" w:color="auto"/>
        <w:right w:val="none" w:sz="0" w:space="0" w:color="auto"/>
      </w:divBdr>
      <w:divsChild>
        <w:div w:id="1933975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0508082">
      <w:bodyDiv w:val="1"/>
      <w:marLeft w:val="0"/>
      <w:marRight w:val="0"/>
      <w:marTop w:val="0"/>
      <w:marBottom w:val="0"/>
      <w:divBdr>
        <w:top w:val="none" w:sz="0" w:space="0" w:color="auto"/>
        <w:left w:val="none" w:sz="0" w:space="0" w:color="auto"/>
        <w:bottom w:val="none" w:sz="0" w:space="0" w:color="auto"/>
        <w:right w:val="none" w:sz="0" w:space="0" w:color="auto"/>
      </w:divBdr>
      <w:divsChild>
        <w:div w:id="2043939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651141">
      <w:bodyDiv w:val="1"/>
      <w:marLeft w:val="0"/>
      <w:marRight w:val="0"/>
      <w:marTop w:val="0"/>
      <w:marBottom w:val="0"/>
      <w:divBdr>
        <w:top w:val="none" w:sz="0" w:space="0" w:color="auto"/>
        <w:left w:val="none" w:sz="0" w:space="0" w:color="auto"/>
        <w:bottom w:val="none" w:sz="0" w:space="0" w:color="auto"/>
        <w:right w:val="none" w:sz="0" w:space="0" w:color="auto"/>
      </w:divBdr>
    </w:div>
    <w:div w:id="1396851370">
      <w:bodyDiv w:val="1"/>
      <w:marLeft w:val="0"/>
      <w:marRight w:val="0"/>
      <w:marTop w:val="0"/>
      <w:marBottom w:val="0"/>
      <w:divBdr>
        <w:top w:val="none" w:sz="0" w:space="0" w:color="auto"/>
        <w:left w:val="none" w:sz="0" w:space="0" w:color="auto"/>
        <w:bottom w:val="none" w:sz="0" w:space="0" w:color="auto"/>
        <w:right w:val="none" w:sz="0" w:space="0" w:color="auto"/>
      </w:divBdr>
      <w:divsChild>
        <w:div w:id="17888104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53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446445">
      <w:bodyDiv w:val="1"/>
      <w:marLeft w:val="0"/>
      <w:marRight w:val="0"/>
      <w:marTop w:val="0"/>
      <w:marBottom w:val="0"/>
      <w:divBdr>
        <w:top w:val="none" w:sz="0" w:space="0" w:color="auto"/>
        <w:left w:val="none" w:sz="0" w:space="0" w:color="auto"/>
        <w:bottom w:val="none" w:sz="0" w:space="0" w:color="auto"/>
        <w:right w:val="none" w:sz="0" w:space="0" w:color="auto"/>
      </w:divBdr>
      <w:divsChild>
        <w:div w:id="1427186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691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7164117">
      <w:bodyDiv w:val="1"/>
      <w:marLeft w:val="0"/>
      <w:marRight w:val="0"/>
      <w:marTop w:val="0"/>
      <w:marBottom w:val="0"/>
      <w:divBdr>
        <w:top w:val="none" w:sz="0" w:space="0" w:color="auto"/>
        <w:left w:val="none" w:sz="0" w:space="0" w:color="auto"/>
        <w:bottom w:val="none" w:sz="0" w:space="0" w:color="auto"/>
        <w:right w:val="none" w:sz="0" w:space="0" w:color="auto"/>
      </w:divBdr>
      <w:divsChild>
        <w:div w:id="857893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8263607">
      <w:bodyDiv w:val="1"/>
      <w:marLeft w:val="0"/>
      <w:marRight w:val="0"/>
      <w:marTop w:val="0"/>
      <w:marBottom w:val="0"/>
      <w:divBdr>
        <w:top w:val="none" w:sz="0" w:space="0" w:color="auto"/>
        <w:left w:val="none" w:sz="0" w:space="0" w:color="auto"/>
        <w:bottom w:val="none" w:sz="0" w:space="0" w:color="auto"/>
        <w:right w:val="none" w:sz="0" w:space="0" w:color="auto"/>
      </w:divBdr>
      <w:divsChild>
        <w:div w:id="115900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906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1418694">
      <w:bodyDiv w:val="1"/>
      <w:marLeft w:val="0"/>
      <w:marRight w:val="0"/>
      <w:marTop w:val="0"/>
      <w:marBottom w:val="0"/>
      <w:divBdr>
        <w:top w:val="none" w:sz="0" w:space="0" w:color="auto"/>
        <w:left w:val="none" w:sz="0" w:space="0" w:color="auto"/>
        <w:bottom w:val="none" w:sz="0" w:space="0" w:color="auto"/>
        <w:right w:val="none" w:sz="0" w:space="0" w:color="auto"/>
      </w:divBdr>
    </w:div>
    <w:div w:id="1712149033">
      <w:bodyDiv w:val="1"/>
      <w:marLeft w:val="0"/>
      <w:marRight w:val="0"/>
      <w:marTop w:val="0"/>
      <w:marBottom w:val="0"/>
      <w:divBdr>
        <w:top w:val="none" w:sz="0" w:space="0" w:color="auto"/>
        <w:left w:val="none" w:sz="0" w:space="0" w:color="auto"/>
        <w:bottom w:val="none" w:sz="0" w:space="0" w:color="auto"/>
        <w:right w:val="none" w:sz="0" w:space="0" w:color="auto"/>
      </w:divBdr>
      <w:divsChild>
        <w:div w:id="149517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4985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2422162">
      <w:bodyDiv w:val="1"/>
      <w:marLeft w:val="0"/>
      <w:marRight w:val="0"/>
      <w:marTop w:val="0"/>
      <w:marBottom w:val="0"/>
      <w:divBdr>
        <w:top w:val="none" w:sz="0" w:space="0" w:color="auto"/>
        <w:left w:val="none" w:sz="0" w:space="0" w:color="auto"/>
        <w:bottom w:val="none" w:sz="0" w:space="0" w:color="auto"/>
        <w:right w:val="none" w:sz="0" w:space="0" w:color="auto"/>
      </w:divBdr>
    </w:div>
    <w:div w:id="1994210728">
      <w:bodyDiv w:val="1"/>
      <w:marLeft w:val="0"/>
      <w:marRight w:val="0"/>
      <w:marTop w:val="0"/>
      <w:marBottom w:val="0"/>
      <w:divBdr>
        <w:top w:val="none" w:sz="0" w:space="0" w:color="auto"/>
        <w:left w:val="none" w:sz="0" w:space="0" w:color="auto"/>
        <w:bottom w:val="none" w:sz="0" w:space="0" w:color="auto"/>
        <w:right w:val="none" w:sz="0" w:space="0" w:color="auto"/>
      </w:divBdr>
      <w:divsChild>
        <w:div w:id="714893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738711">
      <w:bodyDiv w:val="1"/>
      <w:marLeft w:val="0"/>
      <w:marRight w:val="0"/>
      <w:marTop w:val="0"/>
      <w:marBottom w:val="0"/>
      <w:divBdr>
        <w:top w:val="none" w:sz="0" w:space="0" w:color="auto"/>
        <w:left w:val="none" w:sz="0" w:space="0" w:color="auto"/>
        <w:bottom w:val="none" w:sz="0" w:space="0" w:color="auto"/>
        <w:right w:val="none" w:sz="0" w:space="0" w:color="auto"/>
      </w:divBdr>
      <w:divsChild>
        <w:div w:id="906184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ifs.gov.au/publications/elder-abu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aifs.gov.au/publications/elder-abuse"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399308576993899E-2"/>
          <c:y val="3.9426523297491002E-2"/>
          <c:w val="0.87774435881027202"/>
          <c:h val="0.92114695340501795"/>
        </c:manualLayout>
      </c:layout>
      <c:barChart>
        <c:barDir val="col"/>
        <c:grouping val="clustered"/>
        <c:varyColors val="0"/>
        <c:ser>
          <c:idx val="1"/>
          <c:order val="1"/>
          <c:tx>
            <c:strRef>
              <c:f>'Project Timeline'!$D$20</c:f>
              <c:strCache>
                <c:ptCount val="1"/>
                <c:pt idx="0">
                  <c:v>POSITION</c:v>
                </c:pt>
              </c:strCache>
            </c:strRef>
          </c:tx>
          <c:spPr>
            <a:noFill/>
          </c:spPr>
          <c:invertIfNegative val="0"/>
          <c:dLbls>
            <c:dLbl>
              <c:idx val="0"/>
              <c:layout>
                <c:manualLayout>
                  <c:x val="4.7163915818922002E-8"/>
                  <c:y val="-8.2121881209074997E-18"/>
                </c:manualLayout>
              </c:layout>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555319735976401"/>
                      <c:h val="5.8071433811703203E-2"/>
                    </c:manualLayout>
                  </c15:layout>
                </c:ext>
                <c:ext xmlns:c16="http://schemas.microsoft.com/office/drawing/2014/chart" uri="{C3380CC4-5D6E-409C-BE32-E72D297353CC}">
                  <c16:uniqueId val="{00000000-1D6B-4C0F-9B2C-B923C85156AD}"/>
                </c:ext>
              </c:extLst>
            </c:dLbl>
            <c:dLbl>
              <c:idx val="1"/>
              <c:layout>
                <c:manualLayout>
                  <c:x val="4.71639158093134E-8"/>
                  <c:y val="0"/>
                </c:manualLayout>
              </c:layout>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555319735976401"/>
                      <c:h val="5.8071433811703203E-2"/>
                    </c:manualLayout>
                  </c15:layout>
                </c:ext>
                <c:ext xmlns:c16="http://schemas.microsoft.com/office/drawing/2014/chart" uri="{C3380CC4-5D6E-409C-BE32-E72D297353CC}">
                  <c16:uniqueId val="{00000001-1D6B-4C0F-9B2C-B923C85156AD}"/>
                </c:ext>
              </c:extLst>
            </c:dLbl>
            <c:dLbl>
              <c:idx val="2"/>
              <c:layout>
                <c:manualLayout>
                  <c:x val="4.71639158093134E-8"/>
                  <c:y val="0"/>
                </c:manualLayout>
              </c:layout>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555319735976401"/>
                      <c:h val="5.8071433811703203E-2"/>
                    </c:manualLayout>
                  </c15:layout>
                </c:ext>
                <c:ext xmlns:c16="http://schemas.microsoft.com/office/drawing/2014/chart" uri="{C3380CC4-5D6E-409C-BE32-E72D297353CC}">
                  <c16:uniqueId val="{00000002-1D6B-4C0F-9B2C-B923C85156AD}"/>
                </c:ext>
              </c:extLst>
            </c:dLbl>
            <c:dLbl>
              <c:idx val="3"/>
              <c:layout>
                <c:manualLayout>
                  <c:x val="4.7163915820294599E-8"/>
                  <c:y val="-3.2848752483629999E-17"/>
                </c:manualLayout>
              </c:layout>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555319735976401"/>
                      <c:h val="5.8071433811703203E-2"/>
                    </c:manualLayout>
                  </c15:layout>
                </c:ext>
                <c:ext xmlns:c16="http://schemas.microsoft.com/office/drawing/2014/chart" uri="{C3380CC4-5D6E-409C-BE32-E72D297353CC}">
                  <c16:uniqueId val="{00000003-1D6B-4C0F-9B2C-B923C85156AD}"/>
                </c:ext>
              </c:extLst>
            </c:dLbl>
            <c:dLbl>
              <c:idx val="4"/>
              <c:layout>
                <c:manualLayout>
                  <c:x val="4.7163915820294599E-8"/>
                  <c:y val="1.3139500993452E-16"/>
                </c:manualLayout>
              </c:layout>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555319735976401"/>
                      <c:h val="5.8071433811703203E-2"/>
                    </c:manualLayout>
                  </c15:layout>
                </c:ext>
                <c:ext xmlns:c16="http://schemas.microsoft.com/office/drawing/2014/chart" uri="{C3380CC4-5D6E-409C-BE32-E72D297353CC}">
                  <c16:uniqueId val="{00000004-1D6B-4C0F-9B2C-B923C85156AD}"/>
                </c:ext>
              </c:extLst>
            </c:dLbl>
            <c:dLbl>
              <c:idx val="5"/>
              <c:layout>
                <c:manualLayout>
                  <c:x val="4.7163915820294599E-8"/>
                  <c:y val="-3.2848752483629999E-17"/>
                </c:manualLayout>
              </c:layout>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555319735976401"/>
                      <c:h val="5.8071433811703203E-2"/>
                    </c:manualLayout>
                  </c15:layout>
                </c:ext>
                <c:ext xmlns:c16="http://schemas.microsoft.com/office/drawing/2014/chart" uri="{C3380CC4-5D6E-409C-BE32-E72D297353CC}">
                  <c16:uniqueId val="{00000005-1D6B-4C0F-9B2C-B923C85156AD}"/>
                </c:ext>
              </c:extLst>
            </c:dLbl>
            <c:dLbl>
              <c:idx val="6"/>
              <c:layout>
                <c:manualLayout>
                  <c:x val="-5.0781198736876601E-2"/>
                  <c:y val="1.3779760059520099E-2"/>
                </c:manualLayout>
              </c:layout>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555319735976401"/>
                      <c:h val="5.8071433811703203E-2"/>
                    </c:manualLayout>
                  </c15:layout>
                </c:ext>
                <c:ext xmlns:c16="http://schemas.microsoft.com/office/drawing/2014/chart" uri="{C3380CC4-5D6E-409C-BE32-E72D297353CC}">
                  <c16:uniqueId val="{00000006-1D6B-4C0F-9B2C-B923C85156AD}"/>
                </c:ext>
              </c:extLst>
            </c:dLbl>
            <c:dLbl>
              <c:idx val="7"/>
              <c:layout>
                <c:manualLayout>
                  <c:x val="4.7163915820294599E-8"/>
                  <c:y val="-3.2848752483629999E-17"/>
                </c:manualLayout>
              </c:layout>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555319735976401"/>
                      <c:h val="5.8071433811703203E-2"/>
                    </c:manualLayout>
                  </c15:layout>
                </c:ext>
                <c:ext xmlns:c16="http://schemas.microsoft.com/office/drawing/2014/chart" uri="{C3380CC4-5D6E-409C-BE32-E72D297353CC}">
                  <c16:uniqueId val="{00000007-1D6B-4C0F-9B2C-B923C85156AD}"/>
                </c:ext>
              </c:extLst>
            </c:dLbl>
            <c:dLbl>
              <c:idx val="8"/>
              <c:layout>
                <c:manualLayout>
                  <c:x val="4.7163915820294599E-8"/>
                  <c:y val="0"/>
                </c:manualLayout>
              </c:layout>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555319735976401"/>
                      <c:h val="5.8071433811703203E-2"/>
                    </c:manualLayout>
                  </c15:layout>
                </c:ext>
                <c:ext xmlns:c16="http://schemas.microsoft.com/office/drawing/2014/chart" uri="{C3380CC4-5D6E-409C-BE32-E72D297353CC}">
                  <c16:uniqueId val="{00000008-1D6B-4C0F-9B2C-B923C85156AD}"/>
                </c:ext>
              </c:extLst>
            </c:dLbl>
            <c:dLbl>
              <c:idx val="9"/>
              <c:layout>
                <c:manualLayout>
                  <c:x val="-5.4054144110892301E-2"/>
                  <c:y val="5.6075159650319298E-2"/>
                </c:manualLayout>
              </c:layout>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555319735976401"/>
                      <c:h val="5.8071433811703203E-2"/>
                    </c:manualLayout>
                  </c15:layout>
                </c:ext>
                <c:ext xmlns:c16="http://schemas.microsoft.com/office/drawing/2014/chart" uri="{C3380CC4-5D6E-409C-BE32-E72D297353CC}">
                  <c16:uniqueId val="{00000009-1D6B-4C0F-9B2C-B923C85156AD}"/>
                </c:ext>
              </c:extLst>
            </c:dLbl>
            <c:dLbl>
              <c:idx val="10"/>
              <c:layout>
                <c:manualLayout>
                  <c:x val="4.7163915908144297E-8"/>
                  <c:y val="1.3139500993452E-16"/>
                </c:manualLayout>
              </c:layout>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555319735976401"/>
                      <c:h val="5.8071433811703203E-2"/>
                    </c:manualLayout>
                  </c15:layout>
                </c:ext>
                <c:ext xmlns:c16="http://schemas.microsoft.com/office/drawing/2014/chart" uri="{C3380CC4-5D6E-409C-BE32-E72D297353CC}">
                  <c16:uniqueId val="{0000000A-1D6B-4C0F-9B2C-B923C85156AD}"/>
                </c:ext>
              </c:extLst>
            </c:dLbl>
            <c:dLbl>
              <c:idx val="11"/>
              <c:layout>
                <c:manualLayout>
                  <c:x val="-3.7100398176113103E-2"/>
                  <c:y val="2.0015586207345398E-3"/>
                </c:manualLayout>
              </c:layout>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6.6186536686162006E-2"/>
                      <c:h val="4.7740284651653198E-2"/>
                    </c:manualLayout>
                  </c15:layout>
                </c:ext>
                <c:ext xmlns:c16="http://schemas.microsoft.com/office/drawing/2014/chart" uri="{C3380CC4-5D6E-409C-BE32-E72D297353CC}">
                  <c16:uniqueId val="{0000000B-1D6B-4C0F-9B2C-B923C85156AD}"/>
                </c:ext>
              </c:extLst>
            </c:dLbl>
            <c:dLbl>
              <c:idx val="12"/>
              <c:layout>
                <c:manualLayout>
                  <c:x val="8.1064730792498596E-2"/>
                  <c:y val="-5.7336666685477898E-2"/>
                </c:manualLayout>
              </c:layout>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C-1D6B-4C0F-9B2C-B923C85156AD}"/>
                </c:ext>
              </c:extLst>
            </c:dLbl>
            <c:dLbl>
              <c:idx val="15"/>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D-1D6B-4C0F-9B2C-B923C85156AD}"/>
                </c:ext>
              </c:extLst>
            </c:dLbl>
            <c:dLbl>
              <c:idx val="16"/>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E-1D6B-4C0F-9B2C-B923C85156AD}"/>
                </c:ext>
              </c:extLst>
            </c:dLbl>
            <c:dLbl>
              <c:idx val="17"/>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F-1D6B-4C0F-9B2C-B923C85156AD}"/>
                </c:ext>
              </c:extLst>
            </c:dLbl>
            <c:dLbl>
              <c:idx val="18"/>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0-1D6B-4C0F-9B2C-B923C85156AD}"/>
                </c:ext>
              </c:extLst>
            </c:dLbl>
            <c:dLbl>
              <c:idx val="19"/>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1-1D6B-4C0F-9B2C-B923C85156AD}"/>
                </c:ext>
              </c:extLst>
            </c:dLbl>
            <c:dLbl>
              <c:idx val="20"/>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2-1D6B-4C0F-9B2C-B923C85156AD}"/>
                </c:ext>
              </c:extLst>
            </c:dLbl>
            <c:dLbl>
              <c:idx val="21"/>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3-1D6B-4C0F-9B2C-B923C85156AD}"/>
                </c:ext>
              </c:extLst>
            </c:dLbl>
            <c:dLbl>
              <c:idx val="22"/>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4-1D6B-4C0F-9B2C-B923C85156AD}"/>
                </c:ext>
              </c:extLst>
            </c:dLbl>
            <c:dLbl>
              <c:idx val="23"/>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5-1D6B-4C0F-9B2C-B923C85156AD}"/>
                </c:ext>
              </c:extLst>
            </c:dLbl>
            <c:dLbl>
              <c:idx val="24"/>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6-1D6B-4C0F-9B2C-B923C85156AD}"/>
                </c:ext>
              </c:extLst>
            </c:dLbl>
            <c:dLbl>
              <c:idx val="25"/>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7-1D6B-4C0F-9B2C-B923C85156AD}"/>
                </c:ext>
              </c:extLst>
            </c:dLbl>
            <c:dLbl>
              <c:idx val="26"/>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8-1D6B-4C0F-9B2C-B923C85156AD}"/>
                </c:ext>
              </c:extLst>
            </c:dLbl>
            <c:dLbl>
              <c:idx val="27"/>
              <c:spPr>
                <a:solidFill>
                  <a:schemeClr val="bg1">
                    <a:lumMod val="95000"/>
                  </a:schemeClr>
                </a:solidFill>
                <a:ln>
                  <a:noFill/>
                </a:ln>
                <a:effectLst/>
              </c:spPr>
              <c:txPr>
                <a:bodyPr vertOverflow="overflow" horzOverflow="overflow" wrap="square" lIns="38100" tIns="19050" rIns="38100" bIns="19050" anchor="ctr">
                  <a:noAutofit/>
                </a:bodyPr>
                <a:lstStyle/>
                <a:p>
                  <a:pPr>
                    <a:defRPr sz="8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9-1D6B-4C0F-9B2C-B923C85156AD}"/>
                </c:ext>
              </c:extLst>
            </c:dLbl>
            <c:spPr>
              <a:solidFill>
                <a:schemeClr val="bg1">
                  <a:lumMod val="95000"/>
                </a:schemeClr>
              </a:solidFill>
              <a:ln>
                <a:noFill/>
              </a:ln>
              <a:effectLst/>
            </c:spPr>
            <c:txPr>
              <a:bodyPr vertOverflow="overflow" horzOverflow="overflow" wrap="square" lIns="38100" tIns="19050" rIns="38100" bIns="19050" anchor="ctr">
                <a:noAutofit/>
              </a:bodyPr>
              <a:lstStyle/>
              <a:p>
                <a:pPr>
                  <a:defRPr sz="900" b="0" cap="none" spc="0" baseline="0">
                    <a:ln w="0"/>
                    <a:solidFill>
                      <a:schemeClr val="tx1"/>
                    </a:solidFill>
                    <a:effectLst>
                      <a:outerShdw blurRad="38100" dist="19050" dir="2700000" algn="tl" rotWithShape="0">
                        <a:schemeClr val="dk1">
                          <a:alpha val="40000"/>
                        </a:schemeClr>
                      </a:outerShdw>
                    </a:effectLst>
                    <a:latin typeface="+mj-lt"/>
                  </a:defRPr>
                </a:pPr>
                <a:endParaRPr lang="en-US"/>
              </a:p>
            </c:txPr>
            <c:dLblPos val="outEnd"/>
            <c:showLegendKey val="0"/>
            <c:showVal val="0"/>
            <c:showCatName val="1"/>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errBars>
            <c:errBarType val="minus"/>
            <c:errValType val="percentage"/>
            <c:noEndCap val="0"/>
            <c:val val="100"/>
            <c:spPr>
              <a:ln>
                <a:solidFill>
                  <a:schemeClr val="tx1">
                    <a:lumMod val="65000"/>
                    <a:lumOff val="35000"/>
                  </a:schemeClr>
                </a:solidFill>
              </a:ln>
            </c:spPr>
          </c:errBars>
          <c:cat>
            <c:strRef>
              <c:f>'Project Timeline'!$C$21:$C$49</c:f>
              <c:strCache>
                <c:ptCount val="29"/>
                <c:pt idx="0">
                  <c:v>MM sells Sydney house. Gives daughter $50,000Project Start</c:v>
                </c:pt>
                <c:pt idx="1">
                  <c:v>MM arrives in Tasmania</c:v>
                </c:pt>
                <c:pt idx="2">
                  <c:v>MM buys unit outright. Has $202, 381.54 in one account (A) after purchase</c:v>
                </c:pt>
                <c:pt idx="3">
                  <c:v>MM visist GP (Brighton)</c:v>
                </c:pt>
                <c:pt idx="4">
                  <c:v>MM visits GP (B)</c:v>
                </c:pt>
                <c:pt idx="5">
                  <c:v>Referrals from GP (B)</c:v>
                </c:pt>
                <c:pt idx="6">
                  <c:v>MM visits GP (NN)</c:v>
                </c:pt>
                <c:pt idx="7">
                  <c:v>MM visits GP (NN) - last visit</c:v>
                </c:pt>
                <c:pt idx="8">
                  <c:v>MM transfer NN property title to daughter</c:v>
                </c:pt>
                <c:pt idx="9">
                  <c:v>MM falls; admitted RHH</c:v>
                </c:pt>
                <c:pt idx="10">
                  <c:v>ACAT assessment RHH</c:v>
                </c:pt>
                <c:pt idx="11">
                  <c:v>Speech Path. RHH</c:v>
                </c:pt>
                <c:pt idx="12">
                  <c:v>MM to Mary's Grange</c:v>
                </c:pt>
                <c:pt idx="13">
                  <c:v>GP (T) </c:v>
                </c:pt>
                <c:pt idx="14">
                  <c:v>GP (T) </c:v>
                </c:pt>
                <c:pt idx="15">
                  <c:v>GP (T) </c:v>
                </c:pt>
                <c:pt idx="16">
                  <c:v>GP (T) </c:v>
                </c:pt>
                <c:pt idx="17">
                  <c:v>Daughter request discharge from MG; GP concerned</c:v>
                </c:pt>
                <c:pt idx="18">
                  <c:v>MM discharged to daughter</c:v>
                </c:pt>
                <c:pt idx="19">
                  <c:v>Authority to Operate' to daughter from CBA NN</c:v>
                </c:pt>
                <c:pt idx="20">
                  <c:v>Daughter gets repeat prescriptions from GP (Taroona)</c:v>
                </c:pt>
                <c:pt idx="21">
                  <c:v>NN unit sold (money to son-in-law)</c:v>
                </c:pt>
                <c:pt idx="22">
                  <c:v>MM sees GP (T)</c:v>
                </c:pt>
                <c:pt idx="23">
                  <c:v>MM to GP (T). MM in car</c:v>
                </c:pt>
                <c:pt idx="24">
                  <c:v>MM sees GP (T). Home visit podiatry needed</c:v>
                </c:pt>
                <c:pt idx="25">
                  <c:v>MM and family move to Mount Lloyd</c:v>
                </c:pt>
                <c:pt idx="26">
                  <c:v>MM put to bed in container</c:v>
                </c:pt>
                <c:pt idx="27">
                  <c:v>MM found dead. Weighs 37.9Kg</c:v>
                </c:pt>
                <c:pt idx="28">
                  <c:v>MM has $30,490.31 in account A</c:v>
                </c:pt>
              </c:strCache>
            </c:strRef>
          </c:cat>
          <c:val>
            <c:numRef>
              <c:f>'Project Timeline'!$D$21:$D$49</c:f>
              <c:numCache>
                <c:formatCode>General</c:formatCode>
                <c:ptCount val="29"/>
                <c:pt idx="0">
                  <c:v>20</c:v>
                </c:pt>
                <c:pt idx="1">
                  <c:v>10</c:v>
                </c:pt>
                <c:pt idx="2">
                  <c:v>25</c:v>
                </c:pt>
                <c:pt idx="3">
                  <c:v>-15</c:v>
                </c:pt>
                <c:pt idx="4">
                  <c:v>-20</c:v>
                </c:pt>
                <c:pt idx="5">
                  <c:v>-25</c:v>
                </c:pt>
                <c:pt idx="6">
                  <c:v>-15</c:v>
                </c:pt>
                <c:pt idx="7">
                  <c:v>-25</c:v>
                </c:pt>
                <c:pt idx="8">
                  <c:v>30</c:v>
                </c:pt>
                <c:pt idx="9">
                  <c:v>10</c:v>
                </c:pt>
                <c:pt idx="10">
                  <c:v>5</c:v>
                </c:pt>
                <c:pt idx="11">
                  <c:v>10</c:v>
                </c:pt>
                <c:pt idx="12">
                  <c:v>30</c:v>
                </c:pt>
                <c:pt idx="13">
                  <c:v>-5</c:v>
                </c:pt>
                <c:pt idx="14">
                  <c:v>-10</c:v>
                </c:pt>
                <c:pt idx="15">
                  <c:v>-15</c:v>
                </c:pt>
                <c:pt idx="16">
                  <c:v>15</c:v>
                </c:pt>
                <c:pt idx="17">
                  <c:v>-5</c:v>
                </c:pt>
                <c:pt idx="18">
                  <c:v>20</c:v>
                </c:pt>
                <c:pt idx="19">
                  <c:v>25</c:v>
                </c:pt>
                <c:pt idx="20">
                  <c:v>-10</c:v>
                </c:pt>
                <c:pt idx="21">
                  <c:v>25</c:v>
                </c:pt>
                <c:pt idx="22">
                  <c:v>-15</c:v>
                </c:pt>
                <c:pt idx="23">
                  <c:v>-5</c:v>
                </c:pt>
                <c:pt idx="24">
                  <c:v>-10</c:v>
                </c:pt>
                <c:pt idx="25">
                  <c:v>25</c:v>
                </c:pt>
                <c:pt idx="26">
                  <c:v>5</c:v>
                </c:pt>
                <c:pt idx="27">
                  <c:v>10</c:v>
                </c:pt>
                <c:pt idx="28">
                  <c:v>25</c:v>
                </c:pt>
              </c:numCache>
            </c:numRef>
          </c:val>
          <c:extLst>
            <c:ext xmlns:c16="http://schemas.microsoft.com/office/drawing/2014/chart" uri="{C3380CC4-5D6E-409C-BE32-E72D297353CC}">
              <c16:uniqueId val="{0000001A-1D6B-4C0F-9B2C-B923C85156AD}"/>
            </c:ext>
          </c:extLst>
        </c:ser>
        <c:dLbls>
          <c:showLegendKey val="0"/>
          <c:showVal val="0"/>
          <c:showCatName val="0"/>
          <c:showSerName val="0"/>
          <c:showPercent val="0"/>
          <c:showBubbleSize val="0"/>
        </c:dLbls>
        <c:gapWidth val="150"/>
        <c:axId val="1864817360"/>
        <c:axId val="1887287152"/>
      </c:barChart>
      <c:lineChart>
        <c:grouping val="standard"/>
        <c:varyColors val="0"/>
        <c:ser>
          <c:idx val="0"/>
          <c:order val="0"/>
          <c:tx>
            <c:strRef>
              <c:f>'Project Timeline'!$B$20</c:f>
              <c:strCache>
                <c:ptCount val="1"/>
                <c:pt idx="0">
                  <c:v>DATE</c:v>
                </c:pt>
              </c:strCache>
            </c:strRef>
          </c:tx>
          <c:spPr>
            <a:ln>
              <a:noFill/>
            </a:ln>
          </c:spPr>
          <c:marker>
            <c:symbol val="circle"/>
            <c:size val="7"/>
            <c:spPr>
              <a:solidFill>
                <a:schemeClr val="accent3">
                  <a:lumMod val="75000"/>
                </a:schemeClr>
              </a:solidFill>
              <a:ln w="63500" cmpd="thinThick">
                <a:solidFill>
                  <a:schemeClr val="accent3">
                    <a:lumMod val="75000"/>
                  </a:schemeClr>
                </a:solidFill>
              </a:ln>
            </c:spPr>
          </c:marker>
          <c:errBars>
            <c:errDir val="y"/>
            <c:errBarType val="both"/>
            <c:errValType val="percentage"/>
            <c:noEndCap val="0"/>
            <c:val val="5"/>
          </c:errBars>
          <c:cat>
            <c:numRef>
              <c:f>'Project Timeline'!$B$21:$B$49</c:f>
              <c:numCache>
                <c:formatCode>[$-409]d\-mmm\-yy;@</c:formatCode>
                <c:ptCount val="29"/>
                <c:pt idx="0">
                  <c:v>39263</c:v>
                </c:pt>
                <c:pt idx="1">
                  <c:v>39356</c:v>
                </c:pt>
                <c:pt idx="2">
                  <c:v>39387</c:v>
                </c:pt>
                <c:pt idx="3">
                  <c:v>39451</c:v>
                </c:pt>
                <c:pt idx="4">
                  <c:v>39824</c:v>
                </c:pt>
                <c:pt idx="5">
                  <c:v>39845</c:v>
                </c:pt>
                <c:pt idx="6">
                  <c:v>39619</c:v>
                </c:pt>
                <c:pt idx="7">
                  <c:v>39736</c:v>
                </c:pt>
                <c:pt idx="8">
                  <c:v>39890</c:v>
                </c:pt>
                <c:pt idx="9">
                  <c:v>39989</c:v>
                </c:pt>
                <c:pt idx="10">
                  <c:v>39997</c:v>
                </c:pt>
                <c:pt idx="11">
                  <c:v>39997</c:v>
                </c:pt>
                <c:pt idx="12">
                  <c:v>39638</c:v>
                </c:pt>
                <c:pt idx="13">
                  <c:v>40003</c:v>
                </c:pt>
                <c:pt idx="14">
                  <c:v>40010</c:v>
                </c:pt>
                <c:pt idx="15">
                  <c:v>40017</c:v>
                </c:pt>
                <c:pt idx="16">
                  <c:v>40024</c:v>
                </c:pt>
                <c:pt idx="17">
                  <c:v>40034</c:v>
                </c:pt>
                <c:pt idx="18">
                  <c:v>40038</c:v>
                </c:pt>
                <c:pt idx="19">
                  <c:v>40039</c:v>
                </c:pt>
                <c:pt idx="20">
                  <c:v>40045</c:v>
                </c:pt>
                <c:pt idx="21">
                  <c:v>40116</c:v>
                </c:pt>
                <c:pt idx="22">
                  <c:v>40133</c:v>
                </c:pt>
                <c:pt idx="23">
                  <c:v>40198</c:v>
                </c:pt>
                <c:pt idx="24">
                  <c:v>40347</c:v>
                </c:pt>
                <c:pt idx="25">
                  <c:v>40381</c:v>
                </c:pt>
                <c:pt idx="26">
                  <c:v>40382</c:v>
                </c:pt>
                <c:pt idx="27">
                  <c:v>40383</c:v>
                </c:pt>
                <c:pt idx="28">
                  <c:v>40421</c:v>
                </c:pt>
              </c:numCache>
            </c:numRef>
          </c:cat>
          <c:val>
            <c:numRef>
              <c:f>'Project Timeline'!$E$21:$E$49</c:f>
              <c:numCache>
                <c:formatCode>General</c:formatCode>
                <c:ptCount val="29"/>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numCache>
            </c:numRef>
          </c:val>
          <c:smooth val="1"/>
          <c:extLst>
            <c:ext xmlns:c16="http://schemas.microsoft.com/office/drawing/2014/chart" uri="{C3380CC4-5D6E-409C-BE32-E72D297353CC}">
              <c16:uniqueId val="{0000001B-1D6B-4C0F-9B2C-B923C85156AD}"/>
            </c:ext>
          </c:extLst>
        </c:ser>
        <c:dLbls>
          <c:showLegendKey val="0"/>
          <c:showVal val="0"/>
          <c:showCatName val="0"/>
          <c:showSerName val="0"/>
          <c:showPercent val="0"/>
          <c:showBubbleSize val="0"/>
        </c:dLbls>
        <c:marker val="1"/>
        <c:smooth val="0"/>
        <c:axId val="1899374000"/>
        <c:axId val="1423905136"/>
      </c:lineChart>
      <c:dateAx>
        <c:axId val="1899374000"/>
        <c:scaling>
          <c:orientation val="minMax"/>
        </c:scaling>
        <c:delete val="0"/>
        <c:axPos val="b"/>
        <c:numFmt formatCode="[$-409]d\ mmm;@" sourceLinked="0"/>
        <c:majorTickMark val="cross"/>
        <c:minorTickMark val="in"/>
        <c:tickLblPos val="nextTo"/>
        <c:spPr>
          <a:solidFill>
            <a:schemeClr val="bg1">
              <a:lumMod val="95000"/>
            </a:schemeClr>
          </a:solidFill>
          <a:ln w="9525">
            <a:solidFill>
              <a:schemeClr val="bg1">
                <a:lumMod val="85000"/>
              </a:schemeClr>
            </a:solidFill>
            <a:prstDash val="solid"/>
          </a:ln>
        </c:spPr>
        <c:txPr>
          <a:bodyPr/>
          <a:lstStyle/>
          <a:p>
            <a:pPr>
              <a:defRPr sz="900" b="0">
                <a:solidFill>
                  <a:schemeClr val="bg1">
                    <a:lumMod val="50000"/>
                  </a:schemeClr>
                </a:solidFill>
                <a:latin typeface="+mj-lt"/>
              </a:defRPr>
            </a:pPr>
            <a:endParaRPr lang="en-US"/>
          </a:p>
        </c:txPr>
        <c:crossAx val="1423905136"/>
        <c:crosses val="autoZero"/>
        <c:auto val="1"/>
        <c:lblOffset val="100"/>
        <c:baseTimeUnit val="days"/>
        <c:majorUnit val="1"/>
        <c:majorTimeUnit val="months"/>
        <c:minorUnit val="7"/>
        <c:minorTimeUnit val="days"/>
      </c:dateAx>
      <c:valAx>
        <c:axId val="1423905136"/>
        <c:scaling>
          <c:orientation val="minMax"/>
        </c:scaling>
        <c:delete val="1"/>
        <c:axPos val="l"/>
        <c:numFmt formatCode="General" sourceLinked="1"/>
        <c:majorTickMark val="out"/>
        <c:minorTickMark val="none"/>
        <c:tickLblPos val="nextTo"/>
        <c:crossAx val="1899374000"/>
        <c:crosses val="autoZero"/>
        <c:crossBetween val="midCat"/>
      </c:valAx>
      <c:valAx>
        <c:axId val="1887287152"/>
        <c:scaling>
          <c:orientation val="minMax"/>
        </c:scaling>
        <c:delete val="1"/>
        <c:axPos val="r"/>
        <c:numFmt formatCode="General" sourceLinked="1"/>
        <c:majorTickMark val="out"/>
        <c:minorTickMark val="none"/>
        <c:tickLblPos val="nextTo"/>
        <c:crossAx val="1864817360"/>
        <c:crosses val="max"/>
        <c:crossBetween val="between"/>
      </c:valAx>
      <c:catAx>
        <c:axId val="1864817360"/>
        <c:scaling>
          <c:orientation val="minMax"/>
        </c:scaling>
        <c:delete val="1"/>
        <c:axPos val="b"/>
        <c:numFmt formatCode="General" sourceLinked="1"/>
        <c:majorTickMark val="out"/>
        <c:minorTickMark val="none"/>
        <c:tickLblPos val="nextTo"/>
        <c:crossAx val="1887287152"/>
        <c:crosses val="autoZero"/>
        <c:auto val="1"/>
        <c:lblAlgn val="ctr"/>
        <c:lblOffset val="100"/>
        <c:noMultiLvlLbl val="0"/>
      </c:catAx>
      <c:spPr>
        <a:noFill/>
      </c:spPr>
    </c:plotArea>
    <c:plotVisOnly val="0"/>
    <c:dispBlanksAs val="gap"/>
    <c:showDLblsOverMax val="0"/>
  </c:chart>
  <c:spPr>
    <a:solidFill>
      <a:schemeClr val="bg1">
        <a:lumMod val="95000"/>
      </a:schemeClr>
    </a:solid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A1EC0AD5F1C74C96388BE46FF47979" ma:contentTypeVersion="13" ma:contentTypeDescription="Create a new document." ma:contentTypeScope="" ma:versionID="cdf2fd021a9702524d3e6d8c8df547d1">
  <xsd:schema xmlns:xsd="http://www.w3.org/2001/XMLSchema" xmlns:xs="http://www.w3.org/2001/XMLSchema" xmlns:p="http://schemas.microsoft.com/office/2006/metadata/properties" xmlns:ns3="f5fe90d1-29b9-4777-b361-3a514d8c2d25" xmlns:ns4="653577f7-a646-4891-be13-a9a2b8bc6620" targetNamespace="http://schemas.microsoft.com/office/2006/metadata/properties" ma:root="true" ma:fieldsID="d22e885ac42269f4c5b42dd50e07ff5c" ns3:_="" ns4:_="">
    <xsd:import namespace="f5fe90d1-29b9-4777-b361-3a514d8c2d25"/>
    <xsd:import namespace="653577f7-a646-4891-be13-a9a2b8bc662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e90d1-29b9-4777-b361-3a514d8c2d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577f7-a646-4891-be13-a9a2b8bc662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34CB1B-186E-49EC-A3CF-26E5542A9919}">
  <ds:schemaRefs>
    <ds:schemaRef ds:uri="http://schemas.openxmlformats.org/officeDocument/2006/bibliography"/>
  </ds:schemaRefs>
</ds:datastoreItem>
</file>

<file path=customXml/itemProps2.xml><?xml version="1.0" encoding="utf-8"?>
<ds:datastoreItem xmlns:ds="http://schemas.openxmlformats.org/officeDocument/2006/customXml" ds:itemID="{8583E43E-567F-4DB1-9871-D6B848E9D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e90d1-29b9-4777-b361-3a514d8c2d25"/>
    <ds:schemaRef ds:uri="653577f7-a646-4891-be13-a9a2b8bc6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C4DDB-6A4F-4CF0-BE5D-8FFDC254EF14}">
  <ds:schemaRefs>
    <ds:schemaRef ds:uri="http://schemas.microsoft.com/sharepoint/v3/contenttype/forms"/>
  </ds:schemaRefs>
</ds:datastoreItem>
</file>

<file path=customXml/itemProps4.xml><?xml version="1.0" encoding="utf-8"?>
<ds:datastoreItem xmlns:ds="http://schemas.openxmlformats.org/officeDocument/2006/customXml" ds:itemID="{6A95899D-981B-4A98-ACD7-5463536A42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7120</Words>
  <Characters>40584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 williams</dc:creator>
  <cp:lastModifiedBy>Suanne Lawrence</cp:lastModifiedBy>
  <cp:revision>3</cp:revision>
  <dcterms:created xsi:type="dcterms:W3CDTF">2020-07-22T23:25:00Z</dcterms:created>
  <dcterms:modified xsi:type="dcterms:W3CDTF">2020-07-22T23:26:00Z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0x010100ACA1EC0AD5F1C74C96388BE46FF47979</vt:lpwstr>
  </property>
</Properties>
</file>